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1072" w14:textId="77777777" w:rsidR="006D6E19" w:rsidRDefault="00EA6DD7" w:rsidP="00EA6DD7">
      <w:pPr>
        <w:pStyle w:val="Title"/>
        <w:rPr>
          <w:i/>
          <w:iCs/>
        </w:rPr>
      </w:pPr>
      <w:bookmarkStart w:id="0" w:name="_Hlk60564665"/>
      <w:r w:rsidRPr="00EA6DD7">
        <w:t>Quality Standard</w:t>
      </w:r>
      <w:r>
        <w:t>:</w:t>
      </w:r>
      <w:r w:rsidRPr="00EA6DD7">
        <w:rPr>
          <w:i/>
          <w:iCs/>
        </w:rPr>
        <w:t xml:space="preserve"> for the recruitment of learners </w:t>
      </w:r>
    </w:p>
    <w:p w14:paraId="1E5299B1" w14:textId="66A6F313" w:rsidR="00EA6DD7" w:rsidRPr="00EA6DD7" w:rsidRDefault="00EA6DD7" w:rsidP="00EA6DD7">
      <w:pPr>
        <w:pStyle w:val="Title"/>
        <w:rPr>
          <w:i/>
          <w:iCs/>
        </w:rPr>
      </w:pPr>
      <w:r w:rsidRPr="00EA6DD7">
        <w:rPr>
          <w:i/>
          <w:iCs/>
        </w:rPr>
        <w:t>from un-advantaged backgrounds</w:t>
      </w:r>
    </w:p>
    <w:p w14:paraId="04F1D1F6" w14:textId="212EDFF6" w:rsidR="007B65EF" w:rsidRDefault="007B65EF" w:rsidP="007B65EF">
      <w:pPr>
        <w:pStyle w:val="Heading2"/>
      </w:pPr>
      <w:r>
        <w:t>Support resources for this session</w:t>
      </w:r>
    </w:p>
    <w:p w14:paraId="40DE0772" w14:textId="2EF1D71B" w:rsidR="00BF773F" w:rsidRDefault="00000000" w:rsidP="007B65EF">
      <w:hyperlink r:id="rId8" w:history="1">
        <w:r w:rsidR="00BF773F" w:rsidRPr="00ED004E">
          <w:rPr>
            <w:rStyle w:val="Hyperlink"/>
          </w:rPr>
          <w:t>https://ccqi.org.uk/resources/ual-outreach</w:t>
        </w:r>
      </w:hyperlink>
      <w:r w:rsidR="00BF773F">
        <w:t xml:space="preserve"> </w:t>
      </w:r>
    </w:p>
    <w:p w14:paraId="0EBF7277" w14:textId="77777777" w:rsidR="00BF773F" w:rsidRDefault="00BF773F" w:rsidP="00BF773F">
      <w:pPr>
        <w:pStyle w:val="Black"/>
      </w:pPr>
    </w:p>
    <w:p w14:paraId="401DC01E" w14:textId="469CF713" w:rsidR="00EA6DD7" w:rsidRPr="00EA6DD7" w:rsidRDefault="00EA6DD7" w:rsidP="00EA6DD7">
      <w:pPr>
        <w:pStyle w:val="Heading2"/>
      </w:pPr>
      <w:r>
        <w:t>L</w:t>
      </w:r>
      <w:r w:rsidRPr="00EA6DD7">
        <w:t>earning outcomes</w:t>
      </w:r>
    </w:p>
    <w:p w14:paraId="5060124B" w14:textId="0036FE0D" w:rsidR="00EA6DD7" w:rsidRPr="00EA6DD7" w:rsidRDefault="00EA6DD7" w:rsidP="00EA6DD7">
      <w:r w:rsidRPr="00EA6DD7">
        <w:t xml:space="preserve">By the end of the session, delegates will be able to set out clearly: </w:t>
      </w:r>
    </w:p>
    <w:p w14:paraId="10AAA775" w14:textId="45CB90AA" w:rsidR="00EA6DD7" w:rsidRPr="00EA6DD7" w:rsidRDefault="006D6E19" w:rsidP="00EA6DD7">
      <w:r w:rsidRPr="006D6E19">
        <w:drawing>
          <wp:anchor distT="0" distB="0" distL="114300" distR="114300" simplePos="0" relativeHeight="251683840" behindDoc="0" locked="0" layoutInCell="1" allowOverlap="1" wp14:anchorId="67D40B50" wp14:editId="1B7EB308">
            <wp:simplePos x="0" y="0"/>
            <wp:positionH relativeFrom="margin">
              <wp:posOffset>3963035</wp:posOffset>
            </wp:positionH>
            <wp:positionV relativeFrom="paragraph">
              <wp:posOffset>86170</wp:posOffset>
            </wp:positionV>
            <wp:extent cx="2169795" cy="1221105"/>
            <wp:effectExtent l="0" t="0" r="1905" b="0"/>
            <wp:wrapThrough wrapText="bothSides">
              <wp:wrapPolygon edited="0">
                <wp:start x="0" y="0"/>
                <wp:lineTo x="0" y="21229"/>
                <wp:lineTo x="21429" y="21229"/>
                <wp:lineTo x="21429" y="0"/>
                <wp:lineTo x="0" y="0"/>
              </wp:wrapPolygon>
            </wp:wrapThrough>
            <wp:docPr id="1" name="Picture 1" descr="A picture containing text&#10;&#10;Description automatically generated">
              <a:extLst xmlns:a="http://schemas.openxmlformats.org/drawingml/2006/main">
                <a:ext uri="{FF2B5EF4-FFF2-40B4-BE49-F238E27FC236}">
                  <a16:creationId xmlns:a16="http://schemas.microsoft.com/office/drawing/2014/main" id="{3D4F44E2-8E8E-FC88-74A7-CC4D6DA8E7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extLst>
                        <a:ext uri="{FF2B5EF4-FFF2-40B4-BE49-F238E27FC236}">
                          <a16:creationId xmlns:a16="http://schemas.microsoft.com/office/drawing/2014/main" id="{3D4F44E2-8E8E-FC88-74A7-CC4D6DA8E7D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1221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6EFAB" w14:textId="6803991D" w:rsidR="00EA6DD7" w:rsidRPr="00EA6DD7" w:rsidRDefault="00EA6DD7" w:rsidP="00EA6DD7">
      <w:pPr>
        <w:numPr>
          <w:ilvl w:val="0"/>
          <w:numId w:val="19"/>
        </w:numPr>
      </w:pPr>
      <w:r w:rsidRPr="00EA6DD7">
        <w:t xml:space="preserve">the extremes of </w:t>
      </w:r>
      <w:r w:rsidRPr="00EA6DD7">
        <w:rPr>
          <w:i/>
          <w:iCs/>
        </w:rPr>
        <w:t>Emotional Learning States</w:t>
      </w:r>
      <w:r w:rsidRPr="00EA6DD7">
        <w:t xml:space="preserve"> ‘target’ learners should experience during the </w:t>
      </w:r>
      <w:r w:rsidRPr="00EA6DD7">
        <w:rPr>
          <w:i/>
          <w:iCs/>
        </w:rPr>
        <w:t>Phases of Recruitment</w:t>
      </w:r>
    </w:p>
    <w:p w14:paraId="1F856DDB" w14:textId="3F718F1C" w:rsidR="00EA6DD7" w:rsidRPr="00EA6DD7" w:rsidRDefault="00EA6DD7" w:rsidP="00EA6DD7">
      <w:pPr>
        <w:numPr>
          <w:ilvl w:val="0"/>
          <w:numId w:val="19"/>
        </w:numPr>
        <w:rPr>
          <w:i/>
          <w:iCs/>
        </w:rPr>
      </w:pPr>
      <w:r w:rsidRPr="00EA6DD7">
        <w:t xml:space="preserve">how learners will be different by the end of each of the </w:t>
      </w:r>
      <w:r w:rsidRPr="00EA6DD7">
        <w:rPr>
          <w:i/>
          <w:iCs/>
        </w:rPr>
        <w:t>Phases of Recruitment</w:t>
      </w:r>
    </w:p>
    <w:p w14:paraId="07D3F4FA" w14:textId="22A8E22A" w:rsidR="004B68C9" w:rsidRPr="004B68C9" w:rsidRDefault="006D6E19" w:rsidP="006D6E19">
      <w:r>
        <w:rPr>
          <w:noProof/>
        </w:rPr>
        <mc:AlternateContent>
          <mc:Choice Requires="wps">
            <w:drawing>
              <wp:anchor distT="0" distB="0" distL="114300" distR="114300" simplePos="0" relativeHeight="251682816" behindDoc="0" locked="0" layoutInCell="1" allowOverlap="1" wp14:anchorId="3571EF55" wp14:editId="1F6BDEA0">
                <wp:simplePos x="0" y="0"/>
                <wp:positionH relativeFrom="page">
                  <wp:align>center</wp:align>
                </wp:positionH>
                <wp:positionV relativeFrom="paragraph">
                  <wp:posOffset>2405165</wp:posOffset>
                </wp:positionV>
                <wp:extent cx="1518249" cy="854015"/>
                <wp:effectExtent l="0" t="0" r="25400" b="22860"/>
                <wp:wrapNone/>
                <wp:docPr id="2" name="Oval 2"/>
                <wp:cNvGraphicFramePr/>
                <a:graphic xmlns:a="http://schemas.openxmlformats.org/drawingml/2006/main">
                  <a:graphicData uri="http://schemas.microsoft.com/office/word/2010/wordprocessingShape">
                    <wps:wsp>
                      <wps:cNvSpPr/>
                      <wps:spPr>
                        <a:xfrm>
                          <a:off x="0" y="0"/>
                          <a:ext cx="1518249" cy="8540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B10B2B" w14:textId="3DAA0CF7" w:rsidR="00EA6DD7" w:rsidRDefault="00EA6DD7" w:rsidP="00EA6DD7">
                            <w:pPr>
                              <w:jc w:val="center"/>
                            </w:pPr>
                            <w:r>
                              <w:t>Expert learner traits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71EF55" id="Oval 2" o:spid="_x0000_s1026" style="position:absolute;margin-left:0;margin-top:189.4pt;width:119.55pt;height:67.25pt;z-index:25168281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" fillcolor="#4f81bd [3204]" strokecolor="#243f60 [1604]" strokeweight="2pt">
                <v:textbox>
                  <w:txbxContent>
                    <w:p w14:paraId="4AB10B2B" w14:textId="3DAA0CF7" w:rsidR="00EA6DD7" w:rsidRDefault="00EA6DD7" w:rsidP="00EA6DD7">
                      <w:pPr>
                        <w:jc w:val="center"/>
                      </w:pPr>
                      <w:r>
                        <w:t>Expert learner traits</w:t>
                      </w:r>
                    </w:p>
                  </w:txbxContent>
                </v:textbox>
                <w10:wrap anchorx="page"/>
              </v:oval>
            </w:pict>
          </mc:Fallback>
        </mc:AlternateContent>
      </w:r>
      <w:r w:rsidR="00EA6DD7">
        <w:br w:type="page"/>
      </w:r>
      <w:r w:rsidR="004B68C9" w:rsidRPr="004B68C9">
        <w:lastRenderedPageBreak/>
        <w:t>The Quality Standard Taxonomy</w:t>
      </w:r>
    </w:p>
    <w:p w14:paraId="1A4D1498" w14:textId="77777777" w:rsidR="004B68C9" w:rsidRPr="004B68C9" w:rsidRDefault="004B68C9" w:rsidP="004B68C9">
      <w:r w:rsidRPr="004B68C9">
        <w:rPr>
          <w:noProof/>
        </w:rPr>
        <w:drawing>
          <wp:anchor distT="0" distB="0" distL="114300" distR="114300" simplePos="0" relativeHeight="251656192" behindDoc="0" locked="0" layoutInCell="1" allowOverlap="1" wp14:anchorId="2EFAF76D" wp14:editId="592FC614">
            <wp:simplePos x="0" y="0"/>
            <wp:positionH relativeFrom="column">
              <wp:posOffset>3645819</wp:posOffset>
            </wp:positionH>
            <wp:positionV relativeFrom="paragraph">
              <wp:posOffset>39370</wp:posOffset>
            </wp:positionV>
            <wp:extent cx="2438400" cy="1224915"/>
            <wp:effectExtent l="0" t="0" r="0" b="0"/>
            <wp:wrapThrough wrapText="bothSides">
              <wp:wrapPolygon edited="0">
                <wp:start x="0" y="0"/>
                <wp:lineTo x="0" y="21163"/>
                <wp:lineTo x="21431" y="21163"/>
                <wp:lineTo x="21431"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224915"/>
                    </a:xfrm>
                    <a:prstGeom prst="rect">
                      <a:avLst/>
                    </a:prstGeom>
                    <a:noFill/>
                  </pic:spPr>
                </pic:pic>
              </a:graphicData>
            </a:graphic>
            <wp14:sizeRelH relativeFrom="margin">
              <wp14:pctWidth>0</wp14:pctWidth>
            </wp14:sizeRelH>
            <wp14:sizeRelV relativeFrom="margin">
              <wp14:pctHeight>0</wp14:pctHeight>
            </wp14:sizeRelV>
          </wp:anchor>
        </w:drawing>
      </w:r>
      <w:r w:rsidRPr="004B68C9">
        <w:t xml:space="preserve">The Quality Standard Taxonomy has three tiers: </w:t>
      </w:r>
    </w:p>
    <w:p w14:paraId="1A1BDA6C" w14:textId="77777777" w:rsidR="004B68C9" w:rsidRPr="004B68C9" w:rsidRDefault="004B68C9" w:rsidP="004B68C9"/>
    <w:p w14:paraId="3997147C" w14:textId="77777777" w:rsidR="004B68C9" w:rsidRPr="004B68C9" w:rsidRDefault="004B68C9" w:rsidP="002D04BC">
      <w:pPr>
        <w:numPr>
          <w:ilvl w:val="0"/>
          <w:numId w:val="3"/>
        </w:numPr>
      </w:pPr>
      <w:r w:rsidRPr="004B68C9">
        <w:t>Area</w:t>
      </w:r>
    </w:p>
    <w:p w14:paraId="73F9BC2D" w14:textId="77777777" w:rsidR="004B68C9" w:rsidRPr="004B68C9" w:rsidRDefault="004B68C9" w:rsidP="002D04BC">
      <w:pPr>
        <w:numPr>
          <w:ilvl w:val="1"/>
          <w:numId w:val="3"/>
        </w:numPr>
      </w:pPr>
      <w:r w:rsidRPr="004B68C9">
        <w:t>Aspects</w:t>
      </w:r>
    </w:p>
    <w:p w14:paraId="4EB4F01A" w14:textId="77777777" w:rsidR="004B68C9" w:rsidRPr="004B68C9" w:rsidRDefault="004B68C9" w:rsidP="002D04BC">
      <w:pPr>
        <w:numPr>
          <w:ilvl w:val="1"/>
          <w:numId w:val="3"/>
        </w:numPr>
      </w:pPr>
      <w:r w:rsidRPr="004B68C9">
        <w:t>Aspects</w:t>
      </w:r>
    </w:p>
    <w:p w14:paraId="0E6BE2B3" w14:textId="77777777" w:rsidR="004B68C9" w:rsidRPr="004B68C9" w:rsidRDefault="004B68C9" w:rsidP="002D04BC">
      <w:pPr>
        <w:numPr>
          <w:ilvl w:val="2"/>
          <w:numId w:val="3"/>
        </w:numPr>
      </w:pPr>
      <w:r w:rsidRPr="004B68C9">
        <w:t>Elements</w:t>
      </w:r>
    </w:p>
    <w:p w14:paraId="5BE4AAEB" w14:textId="77777777" w:rsidR="004B68C9" w:rsidRPr="004B68C9" w:rsidRDefault="004B68C9" w:rsidP="002D04BC">
      <w:pPr>
        <w:numPr>
          <w:ilvl w:val="2"/>
          <w:numId w:val="3"/>
        </w:numPr>
      </w:pPr>
      <w:r w:rsidRPr="004B68C9">
        <w:t>Elements</w:t>
      </w:r>
    </w:p>
    <w:p w14:paraId="6E7DD48E" w14:textId="77777777" w:rsidR="004B68C9" w:rsidRPr="004B68C9" w:rsidRDefault="004B68C9" w:rsidP="004B68C9"/>
    <w:p w14:paraId="6C504DF5" w14:textId="77777777" w:rsidR="004B68C9" w:rsidRPr="004B68C9" w:rsidRDefault="004B68C9" w:rsidP="004B68C9">
      <w:r w:rsidRPr="004B68C9">
        <w:t xml:space="preserve">This taxonomy approach enables us to define every element of a job role. However, it should be noted that the Quality Standard is an aspirational document that sets out what outstanding provision would look like in your organisation, rather than simply a slavish account of current practice. </w:t>
      </w:r>
    </w:p>
    <w:p w14:paraId="5FCBB24D" w14:textId="77777777" w:rsidR="004B68C9" w:rsidRPr="004B68C9" w:rsidRDefault="004B68C9" w:rsidP="004B68C9"/>
    <w:p w14:paraId="24842F62" w14:textId="77777777" w:rsidR="004B68C9" w:rsidRPr="004B68C9" w:rsidRDefault="004B68C9" w:rsidP="000A0D3A">
      <w:pPr>
        <w:pStyle w:val="Heading3"/>
      </w:pPr>
      <w:r w:rsidRPr="004B68C9">
        <w:t>Areas</w:t>
      </w:r>
    </w:p>
    <w:p w14:paraId="7E1A7C4B" w14:textId="77777777" w:rsidR="004B68C9" w:rsidRPr="004B68C9" w:rsidRDefault="004B68C9" w:rsidP="004B68C9">
      <w:r w:rsidRPr="004B68C9">
        <w:rPr>
          <w:i/>
        </w:rPr>
        <w:t>The key headings that define a whole job role.</w:t>
      </w:r>
    </w:p>
    <w:p w14:paraId="591F4434" w14:textId="77777777" w:rsidR="004B68C9" w:rsidRPr="004B68C9" w:rsidRDefault="004B68C9" w:rsidP="004B68C9"/>
    <w:p w14:paraId="1F885B94" w14:textId="77777777" w:rsidR="004B68C9" w:rsidRPr="004B68C9" w:rsidRDefault="004B68C9" w:rsidP="004B68C9">
      <w:r w:rsidRPr="004B68C9">
        <w:t xml:space="preserve">Whether teachers, support staff, managers or governors, arguably every job role can be encapsulated in a short list of headings, or </w:t>
      </w:r>
      <w:r w:rsidRPr="004B68C9">
        <w:rPr>
          <w:i/>
        </w:rPr>
        <w:t>areas</w:t>
      </w:r>
      <w:r w:rsidRPr="004B68C9">
        <w:t>. For instance, for the teaching role this is arguably best seen as the seven steps of the learner’s journey:</w:t>
      </w:r>
    </w:p>
    <w:p w14:paraId="4D2E0AB1" w14:textId="77777777" w:rsidR="004B68C9" w:rsidRPr="004B68C9" w:rsidRDefault="004B68C9" w:rsidP="004B68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4B68C9" w:rsidRPr="004B68C9" w14:paraId="5B9CC706" w14:textId="77777777" w:rsidTr="003F384A">
        <w:tc>
          <w:tcPr>
            <w:tcW w:w="4743" w:type="dxa"/>
          </w:tcPr>
          <w:p w14:paraId="7A5CFE8A" w14:textId="77777777" w:rsidR="004B68C9" w:rsidRPr="00656CB7" w:rsidRDefault="004B68C9" w:rsidP="002D04BC">
            <w:pPr>
              <w:numPr>
                <w:ilvl w:val="0"/>
                <w:numId w:val="3"/>
              </w:numPr>
              <w:rPr>
                <w:b/>
                <w:bCs/>
              </w:rPr>
            </w:pPr>
            <w:r w:rsidRPr="00656CB7">
              <w:rPr>
                <w:b/>
                <w:bCs/>
              </w:rPr>
              <w:t>Recruitment</w:t>
            </w:r>
          </w:p>
          <w:p w14:paraId="5C9DF6F5" w14:textId="77777777" w:rsidR="004B68C9" w:rsidRPr="004B68C9" w:rsidRDefault="004B68C9" w:rsidP="002D04BC">
            <w:pPr>
              <w:numPr>
                <w:ilvl w:val="0"/>
                <w:numId w:val="3"/>
              </w:numPr>
            </w:pPr>
            <w:r w:rsidRPr="004B68C9">
              <w:t>Induction</w:t>
            </w:r>
          </w:p>
          <w:p w14:paraId="3317F48A" w14:textId="77777777" w:rsidR="004B68C9" w:rsidRPr="00656CB7" w:rsidRDefault="004B68C9" w:rsidP="002D04BC">
            <w:pPr>
              <w:numPr>
                <w:ilvl w:val="0"/>
                <w:numId w:val="3"/>
              </w:numPr>
            </w:pPr>
            <w:r w:rsidRPr="00656CB7">
              <w:t>Teaching, learning and assessment</w:t>
            </w:r>
          </w:p>
          <w:p w14:paraId="390D1C50" w14:textId="77777777" w:rsidR="004B68C9" w:rsidRPr="004B68C9" w:rsidRDefault="004B68C9" w:rsidP="002D04BC">
            <w:pPr>
              <w:numPr>
                <w:ilvl w:val="0"/>
                <w:numId w:val="3"/>
              </w:numPr>
            </w:pPr>
            <w:r w:rsidRPr="004B68C9">
              <w:t>Learner support</w:t>
            </w:r>
          </w:p>
        </w:tc>
        <w:tc>
          <w:tcPr>
            <w:tcW w:w="4744" w:type="dxa"/>
          </w:tcPr>
          <w:p w14:paraId="4703FC28" w14:textId="77777777" w:rsidR="004B68C9" w:rsidRPr="004B68C9" w:rsidRDefault="004B68C9" w:rsidP="002D04BC">
            <w:pPr>
              <w:numPr>
                <w:ilvl w:val="0"/>
                <w:numId w:val="3"/>
              </w:numPr>
            </w:pPr>
            <w:r w:rsidRPr="004B68C9">
              <w:t>Progress monitoring</w:t>
            </w:r>
          </w:p>
          <w:p w14:paraId="7EED753A" w14:textId="77777777" w:rsidR="004B68C9" w:rsidRPr="004B68C9" w:rsidRDefault="004B68C9" w:rsidP="002D04BC">
            <w:pPr>
              <w:numPr>
                <w:ilvl w:val="0"/>
                <w:numId w:val="3"/>
              </w:numPr>
            </w:pPr>
            <w:r w:rsidRPr="004B68C9">
              <w:t>Achievement</w:t>
            </w:r>
          </w:p>
          <w:p w14:paraId="76B72515" w14:textId="77777777" w:rsidR="004B68C9" w:rsidRPr="004B68C9" w:rsidRDefault="004B68C9" w:rsidP="002D04BC">
            <w:pPr>
              <w:numPr>
                <w:ilvl w:val="0"/>
                <w:numId w:val="3"/>
              </w:numPr>
            </w:pPr>
            <w:r w:rsidRPr="004B68C9">
              <w:t>Progression</w:t>
            </w:r>
          </w:p>
          <w:p w14:paraId="6B168FEF" w14:textId="77777777" w:rsidR="004B68C9" w:rsidRPr="004B68C9" w:rsidRDefault="004B68C9" w:rsidP="004B68C9"/>
        </w:tc>
      </w:tr>
    </w:tbl>
    <w:p w14:paraId="288C0D1E" w14:textId="77777777" w:rsidR="004B68C9" w:rsidRPr="004B68C9" w:rsidRDefault="004B68C9" w:rsidP="004B68C9"/>
    <w:p w14:paraId="1FE00CDF" w14:textId="77777777" w:rsidR="004B68C9" w:rsidRPr="004B68C9" w:rsidRDefault="004B68C9" w:rsidP="000A0D3A">
      <w:pPr>
        <w:pStyle w:val="Heading3"/>
      </w:pPr>
      <w:r w:rsidRPr="004B68C9">
        <w:t>Aspects</w:t>
      </w:r>
    </w:p>
    <w:p w14:paraId="715A79BC" w14:textId="77777777" w:rsidR="004B68C9" w:rsidRPr="004B68C9" w:rsidRDefault="004B68C9" w:rsidP="004B68C9">
      <w:pPr>
        <w:rPr>
          <w:i/>
        </w:rPr>
      </w:pPr>
      <w:r w:rsidRPr="004B68C9">
        <w:rPr>
          <w:i/>
        </w:rPr>
        <w:t>The key themes that need to be explored within each area of provision.</w:t>
      </w:r>
    </w:p>
    <w:p w14:paraId="36FD2060" w14:textId="77777777" w:rsidR="004B68C9" w:rsidRPr="004B68C9" w:rsidRDefault="004B68C9" w:rsidP="004B68C9"/>
    <w:p w14:paraId="27CFDF1D" w14:textId="20BDE064" w:rsidR="004B68C9" w:rsidRDefault="004B68C9" w:rsidP="004B68C9">
      <w:r w:rsidRPr="004B68C9">
        <w:t xml:space="preserve">Within each </w:t>
      </w:r>
      <w:r w:rsidRPr="004B68C9">
        <w:rPr>
          <w:i/>
        </w:rPr>
        <w:t>area</w:t>
      </w:r>
      <w:r w:rsidRPr="004B68C9">
        <w:t xml:space="preserve"> of work, </w:t>
      </w:r>
      <w:r w:rsidRPr="004B68C9">
        <w:rPr>
          <w:i/>
        </w:rPr>
        <w:t>aspect</w:t>
      </w:r>
      <w:r w:rsidRPr="004B68C9">
        <w:t xml:space="preserve"> headings are used to pull together the detail as efficiently as possible. For instance, within the Induction step of the learner’s journey, the </w:t>
      </w:r>
      <w:r w:rsidRPr="004B68C9">
        <w:rPr>
          <w:i/>
        </w:rPr>
        <w:t>aspect</w:t>
      </w:r>
      <w:r w:rsidRPr="004B68C9">
        <w:t xml:space="preserve"> headings might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4B68C9" w:rsidRPr="004B68C9" w14:paraId="44551166" w14:textId="77777777" w:rsidTr="003F384A">
        <w:tc>
          <w:tcPr>
            <w:tcW w:w="4601" w:type="dxa"/>
          </w:tcPr>
          <w:p w14:paraId="6CAF2603" w14:textId="77777777" w:rsidR="004B68C9" w:rsidRPr="004B68C9" w:rsidRDefault="004B68C9" w:rsidP="002D04BC">
            <w:pPr>
              <w:numPr>
                <w:ilvl w:val="0"/>
                <w:numId w:val="4"/>
              </w:numPr>
            </w:pPr>
            <w:r w:rsidRPr="004B68C9">
              <w:t>Initial assessment</w:t>
            </w:r>
          </w:p>
          <w:p w14:paraId="16523010" w14:textId="77777777" w:rsidR="004B68C9" w:rsidRPr="004B68C9" w:rsidRDefault="004B68C9" w:rsidP="002D04BC">
            <w:pPr>
              <w:numPr>
                <w:ilvl w:val="0"/>
                <w:numId w:val="4"/>
              </w:numPr>
            </w:pPr>
            <w:r w:rsidRPr="004B68C9">
              <w:t>Setting high expectations</w:t>
            </w:r>
          </w:p>
          <w:p w14:paraId="6A0A89BC" w14:textId="77777777" w:rsidR="004B68C9" w:rsidRPr="004B68C9" w:rsidRDefault="004B68C9" w:rsidP="002D04BC">
            <w:pPr>
              <w:numPr>
                <w:ilvl w:val="0"/>
                <w:numId w:val="4"/>
              </w:numPr>
            </w:pPr>
            <w:r w:rsidRPr="004B68C9">
              <w:t>The expert learner</w:t>
            </w:r>
          </w:p>
          <w:p w14:paraId="3152ECC8" w14:textId="77777777" w:rsidR="004B68C9" w:rsidRPr="004B68C9" w:rsidRDefault="004B68C9" w:rsidP="002D04BC">
            <w:pPr>
              <w:numPr>
                <w:ilvl w:val="0"/>
                <w:numId w:val="4"/>
              </w:numPr>
            </w:pPr>
            <w:r w:rsidRPr="004B68C9">
              <w:t>Social bonding</w:t>
            </w:r>
          </w:p>
        </w:tc>
        <w:tc>
          <w:tcPr>
            <w:tcW w:w="4601" w:type="dxa"/>
          </w:tcPr>
          <w:p w14:paraId="55527552" w14:textId="77777777" w:rsidR="004B68C9" w:rsidRPr="004B68C9" w:rsidRDefault="004B68C9" w:rsidP="002D04BC">
            <w:pPr>
              <w:numPr>
                <w:ilvl w:val="0"/>
                <w:numId w:val="4"/>
              </w:numPr>
            </w:pPr>
            <w:r w:rsidRPr="004B68C9">
              <w:t>Equality, diversity and safeguarding</w:t>
            </w:r>
          </w:p>
          <w:p w14:paraId="576B9B43" w14:textId="77777777" w:rsidR="004B68C9" w:rsidRPr="004B68C9" w:rsidRDefault="004B68C9" w:rsidP="002D04BC">
            <w:pPr>
              <w:numPr>
                <w:ilvl w:val="0"/>
                <w:numId w:val="4"/>
              </w:numPr>
            </w:pPr>
            <w:r w:rsidRPr="004B68C9">
              <w:t>Course information</w:t>
            </w:r>
          </w:p>
          <w:p w14:paraId="56303653" w14:textId="77777777" w:rsidR="004B68C9" w:rsidRPr="004B68C9" w:rsidRDefault="004B68C9" w:rsidP="002D04BC">
            <w:pPr>
              <w:numPr>
                <w:ilvl w:val="0"/>
                <w:numId w:val="4"/>
              </w:numPr>
            </w:pPr>
            <w:r w:rsidRPr="004B68C9">
              <w:t>Health and safety</w:t>
            </w:r>
          </w:p>
          <w:p w14:paraId="12A0F7F4" w14:textId="77777777" w:rsidR="004B68C9" w:rsidRPr="004B68C9" w:rsidRDefault="004B68C9" w:rsidP="004B68C9"/>
        </w:tc>
      </w:tr>
    </w:tbl>
    <w:p w14:paraId="0E895405" w14:textId="77777777" w:rsidR="004B68C9" w:rsidRPr="004B68C9" w:rsidRDefault="004B68C9" w:rsidP="004B68C9"/>
    <w:p w14:paraId="4568EEC0" w14:textId="77777777" w:rsidR="004B68C9" w:rsidRPr="004B68C9" w:rsidRDefault="004B68C9" w:rsidP="004B68C9">
      <w:r w:rsidRPr="004B68C9">
        <w:t xml:space="preserve">Additional </w:t>
      </w:r>
      <w:r w:rsidRPr="004B68C9">
        <w:rPr>
          <w:i/>
        </w:rPr>
        <w:t>aspect</w:t>
      </w:r>
      <w:r w:rsidRPr="004B68C9">
        <w:t xml:space="preserve">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4B68C9" w:rsidRPr="004B68C9" w14:paraId="29C577DD" w14:textId="77777777" w:rsidTr="003F384A">
        <w:tc>
          <w:tcPr>
            <w:tcW w:w="4601" w:type="dxa"/>
          </w:tcPr>
          <w:p w14:paraId="306AEE3A" w14:textId="77777777" w:rsidR="004B68C9" w:rsidRPr="004B68C9" w:rsidRDefault="004B68C9" w:rsidP="002D04BC">
            <w:pPr>
              <w:numPr>
                <w:ilvl w:val="0"/>
                <w:numId w:val="4"/>
              </w:numPr>
            </w:pPr>
            <w:r w:rsidRPr="004B68C9">
              <w:t>Induction of late enrollers</w:t>
            </w:r>
          </w:p>
        </w:tc>
        <w:tc>
          <w:tcPr>
            <w:tcW w:w="4601" w:type="dxa"/>
          </w:tcPr>
          <w:p w14:paraId="1141F0F4" w14:textId="77777777" w:rsidR="004B68C9" w:rsidRPr="004B68C9" w:rsidRDefault="004B68C9" w:rsidP="002D04BC">
            <w:pPr>
              <w:numPr>
                <w:ilvl w:val="0"/>
                <w:numId w:val="4"/>
              </w:numPr>
            </w:pPr>
            <w:r w:rsidRPr="004B68C9">
              <w:t>International learners</w:t>
            </w:r>
          </w:p>
        </w:tc>
      </w:tr>
    </w:tbl>
    <w:p w14:paraId="7A4A5299" w14:textId="2D0133C0" w:rsidR="000A0D3A" w:rsidRDefault="000A0D3A">
      <w:pPr>
        <w:rPr>
          <w:rFonts w:eastAsia="Times New Roman" w:cs="Tahoma"/>
          <w:color w:val="0070C0"/>
          <w:szCs w:val="18"/>
          <w:lang w:eastAsia="en-GB"/>
        </w:rPr>
      </w:pPr>
    </w:p>
    <w:p w14:paraId="2AB98CF7" w14:textId="138F44AD" w:rsidR="004B68C9" w:rsidRPr="004B68C9" w:rsidRDefault="004B68C9" w:rsidP="000A0D3A">
      <w:pPr>
        <w:pStyle w:val="Heading3"/>
      </w:pPr>
      <w:r w:rsidRPr="004B68C9">
        <w:t>Elements</w:t>
      </w:r>
    </w:p>
    <w:p w14:paraId="2B619A53" w14:textId="77777777" w:rsidR="004B68C9" w:rsidRPr="004B68C9" w:rsidRDefault="004B68C9" w:rsidP="004B68C9">
      <w:pPr>
        <w:rPr>
          <w:i/>
        </w:rPr>
      </w:pPr>
      <w:r w:rsidRPr="004B68C9">
        <w:rPr>
          <w:i/>
        </w:rPr>
        <w:t>A word or short phrase that identifies an intended impact or a process to produce an intended impact.</w:t>
      </w:r>
    </w:p>
    <w:p w14:paraId="5A6A3DA3" w14:textId="77777777" w:rsidR="004B68C9" w:rsidRPr="004B68C9" w:rsidRDefault="004B68C9" w:rsidP="004B68C9"/>
    <w:p w14:paraId="38CB8E1A" w14:textId="77777777" w:rsidR="004B68C9" w:rsidRPr="004B68C9" w:rsidRDefault="004B68C9" w:rsidP="004B68C9">
      <w:r w:rsidRPr="004B68C9">
        <w:rPr>
          <w:i/>
        </w:rPr>
        <w:t>Element</w:t>
      </w:r>
      <w:r w:rsidRPr="004B68C9">
        <w:t xml:space="preserve"> headings are perhaps the most elusive to define. Each </w:t>
      </w:r>
      <w:r w:rsidRPr="004B68C9">
        <w:rPr>
          <w:i/>
        </w:rPr>
        <w:t>element</w:t>
      </w:r>
      <w:r w:rsidRPr="004B68C9">
        <w:t xml:space="preserve"> heading will lead to the writing of a Gold Standard Impact statement, so it is important to be economical and avoid duplication or detail on </w:t>
      </w:r>
      <w:r w:rsidRPr="004B68C9">
        <w:rPr>
          <w:i/>
        </w:rPr>
        <w:t>how</w:t>
      </w:r>
      <w:r w:rsidRPr="004B68C9">
        <w:t xml:space="preserve"> the impact might be achieved. For instance, in the example below, consider the difference between the following </w:t>
      </w:r>
      <w:r w:rsidRPr="004B68C9">
        <w:rPr>
          <w:i/>
        </w:rPr>
        <w:t>element</w:t>
      </w:r>
      <w:r w:rsidRPr="004B68C9">
        <w:t xml:space="preserve">: </w:t>
      </w:r>
    </w:p>
    <w:p w14:paraId="3C07BC06" w14:textId="77777777" w:rsidR="004B68C9" w:rsidRPr="004B68C9" w:rsidRDefault="004B68C9" w:rsidP="002D04BC">
      <w:pPr>
        <w:numPr>
          <w:ilvl w:val="0"/>
          <w:numId w:val="6"/>
        </w:numPr>
      </w:pPr>
      <w:r w:rsidRPr="004B68C9">
        <w:lastRenderedPageBreak/>
        <w:t>group development</w:t>
      </w:r>
    </w:p>
    <w:p w14:paraId="0FC4FD56" w14:textId="77777777" w:rsidR="004B68C9" w:rsidRPr="004B68C9" w:rsidRDefault="004B68C9" w:rsidP="004B68C9"/>
    <w:p w14:paraId="133786D7" w14:textId="77777777" w:rsidR="004B68C9" w:rsidRPr="004B68C9" w:rsidRDefault="004B68C9" w:rsidP="004B68C9">
      <w:r w:rsidRPr="004B68C9">
        <w:t>and the possible actions to produce the intended impact:</w:t>
      </w:r>
    </w:p>
    <w:p w14:paraId="341BF7F5" w14:textId="77777777" w:rsidR="004B68C9" w:rsidRPr="004B68C9" w:rsidRDefault="004B68C9" w:rsidP="002D04BC">
      <w:pPr>
        <w:numPr>
          <w:ilvl w:val="0"/>
          <w:numId w:val="6"/>
        </w:numPr>
      </w:pPr>
      <w:r w:rsidRPr="004B68C9">
        <w:t>welcome events</w:t>
      </w:r>
    </w:p>
    <w:p w14:paraId="30043D75" w14:textId="77777777" w:rsidR="004B68C9" w:rsidRPr="004B68C9" w:rsidRDefault="004B68C9" w:rsidP="002D04BC">
      <w:pPr>
        <w:numPr>
          <w:ilvl w:val="0"/>
          <w:numId w:val="6"/>
        </w:numPr>
      </w:pPr>
      <w:r w:rsidRPr="004B68C9">
        <w:t>ice breakers</w:t>
      </w:r>
    </w:p>
    <w:p w14:paraId="2DB687F9" w14:textId="77777777" w:rsidR="004B68C9" w:rsidRPr="004B68C9" w:rsidRDefault="004B68C9" w:rsidP="002D04BC">
      <w:pPr>
        <w:numPr>
          <w:ilvl w:val="0"/>
          <w:numId w:val="6"/>
        </w:numPr>
      </w:pPr>
      <w:r w:rsidRPr="004B68C9">
        <w:t>trips and visits</w:t>
      </w:r>
    </w:p>
    <w:p w14:paraId="4E8B2676" w14:textId="77777777" w:rsidR="004B68C9" w:rsidRPr="004B68C9" w:rsidRDefault="004B68C9" w:rsidP="002D04BC">
      <w:pPr>
        <w:numPr>
          <w:ilvl w:val="0"/>
          <w:numId w:val="6"/>
        </w:numPr>
      </w:pPr>
      <w:r w:rsidRPr="004B68C9">
        <w:t>tournaments.</w:t>
      </w:r>
    </w:p>
    <w:p w14:paraId="4B4F4FE3" w14:textId="77777777" w:rsidR="004B68C9" w:rsidRPr="004B68C9" w:rsidRDefault="004B68C9" w:rsidP="004B68C9"/>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1032"/>
        <w:gridCol w:w="1518"/>
        <w:gridCol w:w="3342"/>
        <w:gridCol w:w="2598"/>
      </w:tblGrid>
      <w:tr w:rsidR="004B68C9" w:rsidRPr="004B68C9" w14:paraId="04AE41DF" w14:textId="77777777" w:rsidTr="003F384A">
        <w:tc>
          <w:tcPr>
            <w:tcW w:w="1126" w:type="dxa"/>
          </w:tcPr>
          <w:p w14:paraId="3CB89B32" w14:textId="77777777" w:rsidR="004B68C9" w:rsidRPr="004B68C9" w:rsidRDefault="004B68C9" w:rsidP="004B68C9">
            <w:pPr>
              <w:rPr>
                <w:b/>
              </w:rPr>
            </w:pPr>
            <w:r w:rsidRPr="004B68C9">
              <w:rPr>
                <w:b/>
              </w:rPr>
              <w:t>Aspect</w:t>
            </w:r>
          </w:p>
        </w:tc>
        <w:tc>
          <w:tcPr>
            <w:tcW w:w="993" w:type="dxa"/>
          </w:tcPr>
          <w:p w14:paraId="11269DF1" w14:textId="77777777" w:rsidR="004B68C9" w:rsidRPr="004B68C9" w:rsidRDefault="004B68C9" w:rsidP="004B68C9">
            <w:pPr>
              <w:rPr>
                <w:b/>
              </w:rPr>
            </w:pPr>
            <w:r w:rsidRPr="004B68C9">
              <w:rPr>
                <w:b/>
              </w:rPr>
              <w:t>Area</w:t>
            </w:r>
          </w:p>
        </w:tc>
        <w:tc>
          <w:tcPr>
            <w:tcW w:w="1449" w:type="dxa"/>
          </w:tcPr>
          <w:p w14:paraId="1185D2B0" w14:textId="77777777" w:rsidR="004B68C9" w:rsidRPr="004B68C9" w:rsidRDefault="004B68C9" w:rsidP="004B68C9">
            <w:pPr>
              <w:rPr>
                <w:b/>
              </w:rPr>
            </w:pPr>
            <w:r w:rsidRPr="004B68C9">
              <w:rPr>
                <w:b/>
              </w:rPr>
              <w:t>Element</w:t>
            </w:r>
          </w:p>
        </w:tc>
        <w:tc>
          <w:tcPr>
            <w:tcW w:w="3453" w:type="dxa"/>
          </w:tcPr>
          <w:p w14:paraId="55F05CE3" w14:textId="77777777" w:rsidR="004B68C9" w:rsidRPr="004B68C9" w:rsidRDefault="004B68C9" w:rsidP="004B68C9">
            <w:pPr>
              <w:rPr>
                <w:b/>
              </w:rPr>
            </w:pPr>
            <w:r w:rsidRPr="004B68C9">
              <w:rPr>
                <w:b/>
              </w:rPr>
              <w:t>Impact</w:t>
            </w:r>
          </w:p>
        </w:tc>
        <w:tc>
          <w:tcPr>
            <w:tcW w:w="2618" w:type="dxa"/>
          </w:tcPr>
          <w:p w14:paraId="01285E17" w14:textId="77777777" w:rsidR="004B68C9" w:rsidRPr="004B68C9" w:rsidRDefault="004B68C9" w:rsidP="004B68C9">
            <w:pPr>
              <w:rPr>
                <w:b/>
              </w:rPr>
            </w:pPr>
            <w:r w:rsidRPr="004B68C9">
              <w:rPr>
                <w:b/>
              </w:rPr>
              <w:t>Actions</w:t>
            </w:r>
          </w:p>
        </w:tc>
      </w:tr>
      <w:tr w:rsidR="004B68C9" w:rsidRPr="004B68C9" w14:paraId="0760FA35" w14:textId="77777777" w:rsidTr="003F384A">
        <w:tc>
          <w:tcPr>
            <w:tcW w:w="1126" w:type="dxa"/>
          </w:tcPr>
          <w:p w14:paraId="2C21AD41" w14:textId="77777777" w:rsidR="004B68C9" w:rsidRPr="004B68C9" w:rsidRDefault="004B68C9" w:rsidP="004B68C9">
            <w:r w:rsidRPr="004B68C9">
              <w:t>Induction</w:t>
            </w:r>
          </w:p>
        </w:tc>
        <w:tc>
          <w:tcPr>
            <w:tcW w:w="993" w:type="dxa"/>
          </w:tcPr>
          <w:p w14:paraId="23006027" w14:textId="77777777" w:rsidR="004B68C9" w:rsidRPr="004B68C9" w:rsidRDefault="004B68C9" w:rsidP="004B68C9">
            <w:r w:rsidRPr="004B68C9">
              <w:t>Social bonding</w:t>
            </w:r>
          </w:p>
        </w:tc>
        <w:tc>
          <w:tcPr>
            <w:tcW w:w="1449" w:type="dxa"/>
          </w:tcPr>
          <w:p w14:paraId="607581EF" w14:textId="77777777" w:rsidR="004B68C9" w:rsidRPr="004B68C9" w:rsidRDefault="004B68C9" w:rsidP="004B68C9">
            <w:r w:rsidRPr="004B68C9">
              <w:t>Group development</w:t>
            </w:r>
          </w:p>
        </w:tc>
        <w:tc>
          <w:tcPr>
            <w:tcW w:w="3453" w:type="dxa"/>
          </w:tcPr>
          <w:p w14:paraId="17069424" w14:textId="77777777" w:rsidR="004B68C9" w:rsidRPr="004B68C9" w:rsidRDefault="004B68C9" w:rsidP="004B68C9">
            <w:r w:rsidRPr="004B68C9">
              <w:t xml:space="preserve">Learners are at ease and form constructive working relationships with all peers. Social bonds are strong and an additional motivator for attendance. </w:t>
            </w:r>
          </w:p>
        </w:tc>
        <w:tc>
          <w:tcPr>
            <w:tcW w:w="2618" w:type="dxa"/>
          </w:tcPr>
          <w:p w14:paraId="726DF0DB" w14:textId="77777777" w:rsidR="004B68C9" w:rsidRPr="004B68C9" w:rsidRDefault="004B68C9" w:rsidP="002D04BC">
            <w:pPr>
              <w:numPr>
                <w:ilvl w:val="0"/>
                <w:numId w:val="5"/>
              </w:numPr>
            </w:pPr>
            <w:r w:rsidRPr="004B68C9">
              <w:t>Welcome events</w:t>
            </w:r>
          </w:p>
          <w:p w14:paraId="7EBE0235" w14:textId="77777777" w:rsidR="004B68C9" w:rsidRPr="004B68C9" w:rsidRDefault="004B68C9" w:rsidP="002D04BC">
            <w:pPr>
              <w:numPr>
                <w:ilvl w:val="0"/>
                <w:numId w:val="5"/>
              </w:numPr>
            </w:pPr>
            <w:r w:rsidRPr="004B68C9">
              <w:t>Ice breakers</w:t>
            </w:r>
          </w:p>
          <w:p w14:paraId="5A67A6CF" w14:textId="77777777" w:rsidR="004B68C9" w:rsidRPr="004B68C9" w:rsidRDefault="004B68C9" w:rsidP="002D04BC">
            <w:pPr>
              <w:numPr>
                <w:ilvl w:val="0"/>
                <w:numId w:val="5"/>
              </w:numPr>
            </w:pPr>
            <w:r w:rsidRPr="004B68C9">
              <w:t>Trips and visits</w:t>
            </w:r>
          </w:p>
          <w:p w14:paraId="55774145" w14:textId="77777777" w:rsidR="004B68C9" w:rsidRPr="004B68C9" w:rsidRDefault="004B68C9" w:rsidP="002D04BC">
            <w:pPr>
              <w:numPr>
                <w:ilvl w:val="0"/>
                <w:numId w:val="5"/>
              </w:numPr>
            </w:pPr>
            <w:r w:rsidRPr="004B68C9">
              <w:t>Tournaments</w:t>
            </w:r>
          </w:p>
          <w:p w14:paraId="5B0FC763" w14:textId="77777777" w:rsidR="004B68C9" w:rsidRPr="004B68C9" w:rsidRDefault="004B68C9" w:rsidP="002D04BC">
            <w:pPr>
              <w:numPr>
                <w:ilvl w:val="0"/>
                <w:numId w:val="5"/>
              </w:numPr>
            </w:pPr>
            <w:r w:rsidRPr="004B68C9">
              <w:t>Etc.</w:t>
            </w:r>
          </w:p>
        </w:tc>
      </w:tr>
    </w:tbl>
    <w:p w14:paraId="2E6B838B" w14:textId="77777777" w:rsidR="004B68C9" w:rsidRPr="004B68C9" w:rsidRDefault="004B68C9" w:rsidP="004B68C9"/>
    <w:p w14:paraId="6DA23F7D" w14:textId="77777777" w:rsidR="004B68C9" w:rsidRPr="004B68C9" w:rsidRDefault="004B68C9" w:rsidP="004B68C9">
      <w:r w:rsidRPr="004B68C9">
        <w:t xml:space="preserve">Each one of the </w:t>
      </w:r>
      <w:r w:rsidRPr="004B68C9">
        <w:rPr>
          <w:i/>
        </w:rPr>
        <w:t>action</w:t>
      </w:r>
      <w:r w:rsidRPr="004B68C9">
        <w:t xml:space="preserve"> headings might well meet the definition of an </w:t>
      </w:r>
      <w:r w:rsidRPr="004B68C9">
        <w:rPr>
          <w:i/>
        </w:rPr>
        <w:t>element</w:t>
      </w:r>
      <w:r w:rsidRPr="004B68C9">
        <w:t xml:space="preserve">: </w:t>
      </w:r>
    </w:p>
    <w:p w14:paraId="046A9001" w14:textId="77777777" w:rsidR="004B68C9" w:rsidRPr="004B68C9" w:rsidRDefault="004B68C9" w:rsidP="004B68C9"/>
    <w:p w14:paraId="072337EE" w14:textId="77777777" w:rsidR="004B68C9" w:rsidRPr="004B68C9" w:rsidRDefault="004B68C9" w:rsidP="002D04BC">
      <w:pPr>
        <w:numPr>
          <w:ilvl w:val="0"/>
          <w:numId w:val="7"/>
        </w:numPr>
      </w:pPr>
      <w:r w:rsidRPr="004B68C9">
        <w:rPr>
          <w:i/>
        </w:rPr>
        <w:t>A word or short phrase that identifies an intended impact or a process to produce an intended impact.</w:t>
      </w:r>
    </w:p>
    <w:p w14:paraId="6D255676" w14:textId="77777777" w:rsidR="004B68C9" w:rsidRPr="004B68C9" w:rsidRDefault="004B68C9" w:rsidP="004B68C9"/>
    <w:p w14:paraId="4C72E520" w14:textId="77777777" w:rsidR="004B68C9" w:rsidRPr="004B68C9" w:rsidRDefault="004B68C9" w:rsidP="004B68C9">
      <w:r w:rsidRPr="004B68C9">
        <w:t xml:space="preserve">However, it can be seen that by looking forward to how the intended impact might be written for each of these </w:t>
      </w:r>
      <w:r w:rsidRPr="004B68C9">
        <w:rPr>
          <w:i/>
        </w:rPr>
        <w:t>actions</w:t>
      </w:r>
      <w:r w:rsidRPr="004B68C9">
        <w:t xml:space="preserve"> that there would be considerable duplication, which is to be avoided wherever possible. </w:t>
      </w:r>
    </w:p>
    <w:p w14:paraId="6ECCEAFE" w14:textId="77777777" w:rsidR="004B68C9" w:rsidRPr="004B68C9" w:rsidRDefault="004B68C9" w:rsidP="004B68C9"/>
    <w:p w14:paraId="46600178" w14:textId="77777777" w:rsidR="004B68C9" w:rsidRPr="004B68C9" w:rsidRDefault="004B68C9" w:rsidP="004B68C9">
      <w:r w:rsidRPr="004B68C9">
        <w:t xml:space="preserve">NB. Keep the level of ambition for your intended impact relevant to the </w:t>
      </w:r>
      <w:r w:rsidRPr="004B68C9">
        <w:rPr>
          <w:i/>
        </w:rPr>
        <w:t>area</w:t>
      </w:r>
      <w:r w:rsidRPr="004B68C9">
        <w:t xml:space="preserve"> under consideration. For example, ‘The Expert Learner’ may be an aspect of both the Induction and Teaching and Learning areas, but the ambition for your impact would be very different in the, say, six-week induction period and a full two-year programme of study.</w:t>
      </w:r>
    </w:p>
    <w:p w14:paraId="6C252159" w14:textId="77777777" w:rsidR="004B68C9" w:rsidRPr="004B68C9" w:rsidRDefault="004B68C9" w:rsidP="004B68C9"/>
    <w:p w14:paraId="39B67898" w14:textId="77777777" w:rsidR="00CD38E8" w:rsidRDefault="00CD38E8" w:rsidP="00CE3B5D">
      <w:pPr>
        <w:rPr>
          <w:b/>
          <w:bCs/>
          <w:color w:val="000000" w:themeColor="text1"/>
        </w:rPr>
      </w:pPr>
    </w:p>
    <w:p w14:paraId="4CE2E73A" w14:textId="77777777" w:rsidR="00CD38E8" w:rsidRDefault="00CD38E8" w:rsidP="00CE3B5D">
      <w:pPr>
        <w:rPr>
          <w:b/>
          <w:bCs/>
          <w:color w:val="000000" w:themeColor="text1"/>
        </w:rPr>
      </w:pPr>
    </w:p>
    <w:p w14:paraId="62FFDCFC" w14:textId="77777777" w:rsidR="00CD38E8" w:rsidRDefault="00CD38E8" w:rsidP="00CE3B5D">
      <w:pPr>
        <w:rPr>
          <w:b/>
          <w:bCs/>
          <w:color w:val="000000" w:themeColor="text1"/>
        </w:rPr>
      </w:pPr>
    </w:p>
    <w:p w14:paraId="44DFE3D8" w14:textId="77777777" w:rsidR="00CD38E8" w:rsidRDefault="00CD38E8" w:rsidP="00CE3B5D">
      <w:pPr>
        <w:rPr>
          <w:b/>
          <w:bCs/>
          <w:color w:val="000000" w:themeColor="text1"/>
        </w:rPr>
      </w:pPr>
    </w:p>
    <w:p w14:paraId="6A649052" w14:textId="77777777" w:rsidR="00CD38E8" w:rsidRDefault="00CD38E8" w:rsidP="00CE3B5D">
      <w:pPr>
        <w:rPr>
          <w:b/>
          <w:bCs/>
          <w:color w:val="000000" w:themeColor="text1"/>
        </w:rPr>
      </w:pPr>
    </w:p>
    <w:p w14:paraId="67FC9F4B" w14:textId="3CD15660" w:rsidR="00CD38E8" w:rsidRDefault="00CD38E8" w:rsidP="00CE3B5D">
      <w:pPr>
        <w:rPr>
          <w:b/>
          <w:bCs/>
          <w:color w:val="000000" w:themeColor="text1"/>
        </w:rPr>
      </w:pPr>
    </w:p>
    <w:p w14:paraId="50DBEE4C" w14:textId="2C0A8815" w:rsidR="00CD38E8" w:rsidRDefault="00CD38E8" w:rsidP="00CE3B5D">
      <w:pPr>
        <w:rPr>
          <w:b/>
          <w:bCs/>
          <w:color w:val="000000" w:themeColor="text1"/>
        </w:rPr>
      </w:pPr>
    </w:p>
    <w:p w14:paraId="2B13477A" w14:textId="3E023A5D" w:rsidR="00576233" w:rsidRDefault="00576233" w:rsidP="00CE3B5D">
      <w:pPr>
        <w:rPr>
          <w:b/>
          <w:bCs/>
          <w:color w:val="000000" w:themeColor="text1"/>
        </w:rPr>
      </w:pPr>
    </w:p>
    <w:p w14:paraId="3A852116" w14:textId="77777777" w:rsidR="00576233" w:rsidRDefault="00576233" w:rsidP="00CE3B5D">
      <w:pPr>
        <w:rPr>
          <w:b/>
          <w:bCs/>
          <w:color w:val="000000" w:themeColor="text1"/>
        </w:rPr>
      </w:pPr>
    </w:p>
    <w:p w14:paraId="7AF08257" w14:textId="77777777" w:rsidR="00CD38E8" w:rsidRDefault="00CD38E8" w:rsidP="00CE3B5D">
      <w:pPr>
        <w:rPr>
          <w:b/>
          <w:bCs/>
          <w:color w:val="000000" w:themeColor="text1"/>
        </w:rPr>
      </w:pPr>
    </w:p>
    <w:p w14:paraId="0E884F9B" w14:textId="62B46C61" w:rsidR="00CD38E8" w:rsidRDefault="00CD38E8" w:rsidP="00CE3B5D">
      <w:pPr>
        <w:rPr>
          <w:b/>
          <w:bCs/>
          <w:color w:val="000000" w:themeColor="text1"/>
        </w:rPr>
      </w:pPr>
    </w:p>
    <w:p w14:paraId="3EAEB721" w14:textId="77777777" w:rsidR="00576233" w:rsidRDefault="00576233" w:rsidP="00CE3B5D">
      <w:pPr>
        <w:rPr>
          <w:b/>
          <w:bCs/>
          <w:color w:val="000000" w:themeColor="text1"/>
        </w:rPr>
      </w:pPr>
    </w:p>
    <w:p w14:paraId="48F2CE5D" w14:textId="25E3A1B9" w:rsidR="00CD38E8" w:rsidRDefault="00CD38E8" w:rsidP="00CE3B5D">
      <w:pPr>
        <w:rPr>
          <w:b/>
          <w:bCs/>
          <w:color w:val="000000" w:themeColor="text1"/>
        </w:rPr>
      </w:pPr>
    </w:p>
    <w:p w14:paraId="59958F60" w14:textId="77777777" w:rsidR="00CD38E8" w:rsidRDefault="00CD38E8" w:rsidP="00CE3B5D">
      <w:pPr>
        <w:rPr>
          <w:b/>
          <w:bCs/>
          <w:color w:val="000000" w:themeColor="text1"/>
        </w:rPr>
      </w:pPr>
    </w:p>
    <w:p w14:paraId="7D1DCB50" w14:textId="7B0DACC0" w:rsidR="00CD38E8" w:rsidRDefault="00CD38E8" w:rsidP="00CE3B5D">
      <w:pPr>
        <w:rPr>
          <w:b/>
          <w:bCs/>
          <w:color w:val="000000" w:themeColor="text1"/>
        </w:rPr>
      </w:pPr>
    </w:p>
    <w:p w14:paraId="52380A02" w14:textId="4608CB97" w:rsidR="00CD38E8" w:rsidRPr="002973AA" w:rsidRDefault="00CD38E8" w:rsidP="00CD38E8">
      <w:pPr>
        <w:pStyle w:val="Black"/>
      </w:pPr>
    </w:p>
    <w:p w14:paraId="681B049C" w14:textId="77777777" w:rsidR="0051414D" w:rsidRDefault="0051414D"/>
    <w:p w14:paraId="6F8CBF11" w14:textId="77777777" w:rsidR="0051414D" w:rsidRDefault="0051414D" w:rsidP="0051414D">
      <w:pPr>
        <w:pStyle w:val="Heading2"/>
      </w:pPr>
      <w:r w:rsidRPr="005B7948">
        <w:lastRenderedPageBreak/>
        <w:t>Gold Standard</w:t>
      </w:r>
      <w:r>
        <w:t xml:space="preserve"> impact text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7"/>
        <w:gridCol w:w="6804"/>
      </w:tblGrid>
      <w:tr w:rsidR="00656CB7" w:rsidRPr="000C5B46" w14:paraId="1A72E94B" w14:textId="77777777" w:rsidTr="00C708A7">
        <w:trPr>
          <w:trHeight w:val="460"/>
        </w:trPr>
        <w:tc>
          <w:tcPr>
            <w:tcW w:w="1418" w:type="dxa"/>
            <w:shd w:val="clear" w:color="auto" w:fill="C2D69B" w:themeFill="accent3" w:themeFillTint="99"/>
            <w:vAlign w:val="center"/>
          </w:tcPr>
          <w:p w14:paraId="0C15C843" w14:textId="77777777" w:rsidR="00656CB7" w:rsidRPr="000C5B46" w:rsidRDefault="00656CB7" w:rsidP="00C708A7">
            <w:pPr>
              <w:keepNext/>
              <w:spacing w:after="40"/>
              <w:rPr>
                <w:rFonts w:ascii="Arial" w:eastAsia="Arial" w:hAnsi="Arial" w:cs="Arial"/>
                <w:color w:val="FFFFFF" w:themeColor="background1"/>
                <w:sz w:val="24"/>
                <w:szCs w:val="24"/>
              </w:rPr>
            </w:pPr>
            <w:r w:rsidRPr="000C5B46">
              <w:rPr>
                <w:rFonts w:ascii="Arial" w:hAnsi="Arial" w:cs="Arial"/>
                <w:color w:val="4F6228" w:themeColor="accent3" w:themeShade="80"/>
                <w:sz w:val="24"/>
                <w:szCs w:val="24"/>
              </w:rPr>
              <w:t>Area</w:t>
            </w:r>
          </w:p>
        </w:tc>
        <w:tc>
          <w:tcPr>
            <w:tcW w:w="8221" w:type="dxa"/>
            <w:gridSpan w:val="2"/>
            <w:shd w:val="clear" w:color="auto" w:fill="C2D69B" w:themeFill="accent3" w:themeFillTint="99"/>
            <w:vAlign w:val="center"/>
          </w:tcPr>
          <w:p w14:paraId="3AB059D4" w14:textId="77777777" w:rsidR="00656CB7" w:rsidRPr="000C5B46" w:rsidRDefault="00656CB7" w:rsidP="00C708A7">
            <w:pPr>
              <w:keepNext/>
              <w:spacing w:after="40"/>
              <w:rPr>
                <w:rFonts w:ascii="Arial" w:eastAsia="Arial" w:hAnsi="Arial" w:cs="Arial"/>
                <w:color w:val="4F6228" w:themeColor="accent3" w:themeShade="80"/>
                <w:sz w:val="24"/>
                <w:szCs w:val="24"/>
              </w:rPr>
            </w:pPr>
            <w:r w:rsidRPr="000C5B46">
              <w:rPr>
                <w:rFonts w:ascii="Arial" w:hAnsi="Arial" w:cs="Arial"/>
                <w:color w:val="4F6228" w:themeColor="accent3" w:themeShade="80"/>
                <w:sz w:val="24"/>
                <w:szCs w:val="24"/>
              </w:rPr>
              <w:t xml:space="preserve">1. Recruitment </w:t>
            </w:r>
          </w:p>
        </w:tc>
      </w:tr>
      <w:tr w:rsidR="00656CB7" w:rsidRPr="000C5B46" w14:paraId="4293E28A" w14:textId="77777777" w:rsidTr="00C708A7">
        <w:trPr>
          <w:trHeight w:val="460"/>
        </w:trPr>
        <w:tc>
          <w:tcPr>
            <w:tcW w:w="1418" w:type="dxa"/>
            <w:shd w:val="clear" w:color="auto" w:fill="B8CCE4" w:themeFill="accent1" w:themeFillTint="66"/>
            <w:vAlign w:val="center"/>
          </w:tcPr>
          <w:p w14:paraId="456C9C77" w14:textId="77777777" w:rsidR="00656CB7" w:rsidRPr="000C5B46" w:rsidRDefault="00656CB7" w:rsidP="00C708A7">
            <w:pPr>
              <w:keepNext/>
              <w:spacing w:after="40"/>
              <w:rPr>
                <w:bCs/>
                <w:color w:val="0070C0"/>
              </w:rPr>
            </w:pPr>
            <w:r w:rsidRPr="000C5B46">
              <w:rPr>
                <w:rFonts w:ascii="Arial" w:eastAsia="Arial" w:hAnsi="Arial" w:cs="Arial"/>
                <w:bCs/>
                <w:color w:val="0070C0"/>
              </w:rPr>
              <w:t>Aspect</w:t>
            </w:r>
          </w:p>
        </w:tc>
        <w:tc>
          <w:tcPr>
            <w:tcW w:w="1417" w:type="dxa"/>
            <w:shd w:val="clear" w:color="auto" w:fill="B8CCE4" w:themeFill="accent1" w:themeFillTint="66"/>
            <w:vAlign w:val="center"/>
          </w:tcPr>
          <w:p w14:paraId="72BB603D" w14:textId="77777777" w:rsidR="00656CB7" w:rsidRPr="000C5B46" w:rsidRDefault="00656CB7" w:rsidP="00C708A7">
            <w:pPr>
              <w:keepNext/>
              <w:spacing w:after="40"/>
              <w:rPr>
                <w:bCs/>
                <w:color w:val="0070C0"/>
              </w:rPr>
            </w:pPr>
            <w:r w:rsidRPr="000C5B46">
              <w:rPr>
                <w:rFonts w:ascii="Arial" w:eastAsia="Arial" w:hAnsi="Arial" w:cs="Arial"/>
                <w:bCs/>
                <w:color w:val="0070C0"/>
              </w:rPr>
              <w:t>Elements</w:t>
            </w:r>
          </w:p>
        </w:tc>
        <w:tc>
          <w:tcPr>
            <w:tcW w:w="6804" w:type="dxa"/>
            <w:tcBorders>
              <w:top w:val="single" w:sz="4" w:space="0" w:color="000000"/>
            </w:tcBorders>
            <w:shd w:val="clear" w:color="auto" w:fill="B8CCE4" w:themeFill="accent1" w:themeFillTint="66"/>
            <w:vAlign w:val="center"/>
          </w:tcPr>
          <w:p w14:paraId="1967EA4A" w14:textId="77777777" w:rsidR="00656CB7" w:rsidRPr="000C5B46" w:rsidRDefault="00656CB7" w:rsidP="00C708A7">
            <w:pPr>
              <w:keepNext/>
              <w:spacing w:after="40"/>
              <w:rPr>
                <w:bCs/>
                <w:color w:val="0070C0"/>
              </w:rPr>
            </w:pPr>
            <w:r w:rsidRPr="000C5B46">
              <w:rPr>
                <w:rFonts w:ascii="Arial" w:eastAsia="Arial" w:hAnsi="Arial" w:cs="Arial"/>
                <w:bCs/>
                <w:color w:val="0070C0"/>
              </w:rPr>
              <w:t xml:space="preserve">Gold Standard intended </w:t>
            </w:r>
            <w:r w:rsidRPr="000C5B46">
              <w:rPr>
                <w:rStyle w:val="OrangeChar"/>
                <w:rFonts w:eastAsia="Arial"/>
                <w:b/>
                <w:bCs/>
              </w:rPr>
              <w:t>impact</w:t>
            </w:r>
            <w:r w:rsidRPr="000C5B46">
              <w:rPr>
                <w:rFonts w:ascii="Arial" w:eastAsia="Arial" w:hAnsi="Arial" w:cs="Arial"/>
                <w:bCs/>
                <w:color w:val="0070C0"/>
              </w:rPr>
              <w:t xml:space="preserve">: </w:t>
            </w:r>
          </w:p>
        </w:tc>
      </w:tr>
      <w:tr w:rsidR="00656CB7" w14:paraId="0309127D" w14:textId="77777777" w:rsidTr="00C708A7">
        <w:trPr>
          <w:trHeight w:val="320"/>
        </w:trPr>
        <w:tc>
          <w:tcPr>
            <w:tcW w:w="1418" w:type="dxa"/>
            <w:shd w:val="clear" w:color="auto" w:fill="DBE5F1"/>
          </w:tcPr>
          <w:p w14:paraId="3E6690D0" w14:textId="77777777" w:rsidR="00656CB7" w:rsidRDefault="00656CB7" w:rsidP="00C708A7">
            <w:pPr>
              <w:rPr>
                <w:sz w:val="20"/>
                <w:szCs w:val="20"/>
              </w:rPr>
            </w:pPr>
            <w:r>
              <w:rPr>
                <w:sz w:val="20"/>
                <w:szCs w:val="20"/>
              </w:rPr>
              <w:t>Expert/</w:t>
            </w:r>
          </w:p>
          <w:p w14:paraId="7FCE5CBE" w14:textId="77777777" w:rsidR="00656CB7" w:rsidRDefault="00656CB7" w:rsidP="00C708A7">
            <w:r>
              <w:rPr>
                <w:sz w:val="20"/>
                <w:szCs w:val="20"/>
              </w:rPr>
              <w:t>independent learning</w:t>
            </w:r>
          </w:p>
        </w:tc>
        <w:tc>
          <w:tcPr>
            <w:tcW w:w="1417" w:type="dxa"/>
            <w:shd w:val="clear" w:color="auto" w:fill="F2F2F2"/>
          </w:tcPr>
          <w:p w14:paraId="2AC8D56B" w14:textId="77777777" w:rsidR="00656CB7" w:rsidRDefault="00656CB7" w:rsidP="00C708A7">
            <w:r>
              <w:rPr>
                <w:sz w:val="20"/>
                <w:szCs w:val="20"/>
              </w:rPr>
              <w:t>Curiosity</w:t>
            </w:r>
          </w:p>
        </w:tc>
        <w:tc>
          <w:tcPr>
            <w:tcW w:w="6804" w:type="dxa"/>
            <w:shd w:val="clear" w:color="auto" w:fill="F2F2F2"/>
          </w:tcPr>
          <w:p w14:paraId="75B02F07" w14:textId="77777777" w:rsidR="00656CB7" w:rsidRDefault="00656CB7" w:rsidP="00C708A7">
            <w:r w:rsidRPr="005029A4">
              <w:rPr>
                <w:sz w:val="20"/>
                <w:szCs w:val="20"/>
              </w:rPr>
              <w:t xml:space="preserve">Learners are </w:t>
            </w:r>
            <w:r w:rsidRPr="000C5B46">
              <w:rPr>
                <w:rStyle w:val="OrangeChar"/>
                <w:rFonts w:eastAsiaTheme="minorHAnsi"/>
                <w:b/>
                <w:bCs/>
                <w:sz w:val="20"/>
                <w:szCs w:val="22"/>
              </w:rPr>
              <w:t>excited</w:t>
            </w:r>
            <w:r w:rsidRPr="005029A4">
              <w:rPr>
                <w:sz w:val="20"/>
                <w:szCs w:val="20"/>
              </w:rPr>
              <w:t xml:space="preserve">, </w:t>
            </w:r>
            <w:r w:rsidRPr="000C5B46">
              <w:rPr>
                <w:rStyle w:val="OrangeChar"/>
                <w:rFonts w:eastAsiaTheme="minorHAnsi"/>
                <w:b/>
                <w:bCs/>
                <w:sz w:val="20"/>
                <w:szCs w:val="22"/>
              </w:rPr>
              <w:t>stimulated</w:t>
            </w:r>
            <w:r w:rsidRPr="000C5B46">
              <w:rPr>
                <w:sz w:val="18"/>
                <w:szCs w:val="18"/>
              </w:rPr>
              <w:t xml:space="preserve"> </w:t>
            </w:r>
            <w:r w:rsidRPr="005029A4">
              <w:rPr>
                <w:sz w:val="20"/>
                <w:szCs w:val="20"/>
              </w:rPr>
              <w:t xml:space="preserve">and </w:t>
            </w:r>
            <w:r w:rsidRPr="005029A4">
              <w:rPr>
                <w:rStyle w:val="OrangeChar"/>
                <w:rFonts w:eastAsiaTheme="minorHAnsi"/>
                <w:b/>
                <w:bCs/>
                <w:sz w:val="20"/>
                <w:szCs w:val="20"/>
              </w:rPr>
              <w:t>curious</w:t>
            </w:r>
            <w:r w:rsidRPr="005029A4">
              <w:rPr>
                <w:sz w:val="20"/>
                <w:szCs w:val="20"/>
              </w:rPr>
              <w:t xml:space="preserve"> about their subjects. They </w:t>
            </w:r>
            <w:r w:rsidRPr="000263D2">
              <w:rPr>
                <w:rStyle w:val="OrangeChar"/>
                <w:rFonts w:eastAsiaTheme="minorHAnsi"/>
                <w:b/>
                <w:bCs/>
                <w:color w:val="7030A0"/>
                <w:sz w:val="20"/>
                <w:szCs w:val="20"/>
              </w:rPr>
              <w:t xml:space="preserve">enhance </w:t>
            </w:r>
            <w:r w:rsidRPr="005029A4">
              <w:rPr>
                <w:rStyle w:val="OrangeChar"/>
                <w:rFonts w:eastAsiaTheme="minorHAnsi"/>
                <w:b/>
                <w:bCs/>
                <w:sz w:val="20"/>
                <w:szCs w:val="20"/>
              </w:rPr>
              <w:t>their learning</w:t>
            </w:r>
            <w:r w:rsidRPr="005029A4">
              <w:rPr>
                <w:sz w:val="20"/>
                <w:szCs w:val="20"/>
              </w:rPr>
              <w:t xml:space="preserve"> through </w:t>
            </w:r>
            <w:r w:rsidRPr="000263D2">
              <w:rPr>
                <w:rStyle w:val="OrangeChar"/>
                <w:rFonts w:eastAsiaTheme="minorHAnsi"/>
                <w:b/>
                <w:bCs/>
                <w:color w:val="7030A0"/>
                <w:sz w:val="20"/>
                <w:szCs w:val="20"/>
              </w:rPr>
              <w:t>explorations</w:t>
            </w:r>
            <w:r w:rsidRPr="000263D2">
              <w:rPr>
                <w:color w:val="7030A0"/>
                <w:sz w:val="20"/>
                <w:szCs w:val="20"/>
              </w:rPr>
              <w:t xml:space="preserve"> </w:t>
            </w:r>
            <w:r w:rsidRPr="005029A4">
              <w:rPr>
                <w:sz w:val="20"/>
                <w:szCs w:val="20"/>
              </w:rPr>
              <w:t xml:space="preserve">outside of the classroom which </w:t>
            </w:r>
            <w:r w:rsidRPr="005029A4">
              <w:rPr>
                <w:rStyle w:val="OrangeChar"/>
                <w:rFonts w:eastAsiaTheme="minorHAnsi"/>
                <w:b/>
                <w:bCs/>
                <w:sz w:val="20"/>
                <w:szCs w:val="20"/>
              </w:rPr>
              <w:t>deepens their passion</w:t>
            </w:r>
            <w:r w:rsidRPr="005029A4">
              <w:rPr>
                <w:sz w:val="20"/>
                <w:szCs w:val="20"/>
              </w:rPr>
              <w:t xml:space="preserve"> for their studies. While </w:t>
            </w:r>
            <w:r w:rsidRPr="000263D2">
              <w:rPr>
                <w:b/>
                <w:bCs/>
                <w:color w:val="7030A0"/>
                <w:sz w:val="20"/>
                <w:szCs w:val="20"/>
              </w:rPr>
              <w:t>immersed</w:t>
            </w:r>
            <w:r w:rsidRPr="000263D2">
              <w:rPr>
                <w:color w:val="7030A0"/>
                <w:sz w:val="20"/>
                <w:szCs w:val="20"/>
              </w:rPr>
              <w:t xml:space="preserve"> </w:t>
            </w:r>
            <w:r w:rsidRPr="005029A4">
              <w:rPr>
                <w:sz w:val="20"/>
                <w:szCs w:val="20"/>
              </w:rPr>
              <w:t xml:space="preserve">in their learning experiences, learners are </w:t>
            </w:r>
            <w:r w:rsidRPr="000263D2">
              <w:rPr>
                <w:rStyle w:val="OrangeChar"/>
                <w:rFonts w:eastAsiaTheme="minorHAnsi"/>
                <w:b/>
                <w:bCs/>
                <w:color w:val="7030A0"/>
                <w:sz w:val="20"/>
                <w:szCs w:val="20"/>
              </w:rPr>
              <w:t xml:space="preserve">oblivious </w:t>
            </w:r>
            <w:r w:rsidRPr="005029A4">
              <w:rPr>
                <w:rStyle w:val="OrangeChar"/>
                <w:rFonts w:eastAsiaTheme="minorHAnsi"/>
                <w:b/>
                <w:bCs/>
                <w:sz w:val="20"/>
                <w:szCs w:val="20"/>
              </w:rPr>
              <w:t>to every-day distractions</w:t>
            </w:r>
            <w:r w:rsidRPr="005029A4">
              <w:rPr>
                <w:sz w:val="20"/>
                <w:szCs w:val="20"/>
              </w:rPr>
              <w:t>.</w:t>
            </w:r>
          </w:p>
        </w:tc>
      </w:tr>
    </w:tbl>
    <w:p w14:paraId="555776A3" w14:textId="77777777" w:rsidR="00656CB7" w:rsidRDefault="00656CB7" w:rsidP="005B7948">
      <w:pPr>
        <w:spacing w:after="120"/>
      </w:pPr>
    </w:p>
    <w:p w14:paraId="058AECAF" w14:textId="56DF734F" w:rsidR="0051414D" w:rsidRDefault="0051414D" w:rsidP="005B7948">
      <w:pPr>
        <w:spacing w:after="120"/>
      </w:pPr>
      <w:r>
        <w:t>Write 'active' text. Avoid:</w:t>
      </w:r>
    </w:p>
    <w:p w14:paraId="3F2018D7" w14:textId="77777777" w:rsidR="0051414D" w:rsidRDefault="0051414D" w:rsidP="0051414D">
      <w:pPr>
        <w:pStyle w:val="ListParagraph"/>
        <w:numPr>
          <w:ilvl w:val="0"/>
          <w:numId w:val="12"/>
        </w:numPr>
      </w:pPr>
      <w:r>
        <w:t xml:space="preserve">learners have </w:t>
      </w:r>
      <w:r w:rsidRPr="00356B43">
        <w:rPr>
          <w:color w:val="FF0000"/>
        </w:rPr>
        <w:t xml:space="preserve">access </w:t>
      </w:r>
      <w:r>
        <w:t>to</w:t>
      </w:r>
    </w:p>
    <w:p w14:paraId="4D65D316" w14:textId="77777777" w:rsidR="0051414D" w:rsidRDefault="0051414D" w:rsidP="0051414D">
      <w:pPr>
        <w:pStyle w:val="ListParagraph"/>
        <w:numPr>
          <w:ilvl w:val="0"/>
          <w:numId w:val="12"/>
        </w:numPr>
      </w:pPr>
      <w:r>
        <w:t xml:space="preserve">learners are </w:t>
      </w:r>
      <w:r w:rsidRPr="00356B43">
        <w:rPr>
          <w:rStyle w:val="RedChar"/>
          <w:rFonts w:eastAsia="MS Mincho"/>
        </w:rPr>
        <w:t>enabled</w:t>
      </w:r>
      <w:r>
        <w:t xml:space="preserve"> to</w:t>
      </w:r>
    </w:p>
    <w:p w14:paraId="565FCACF" w14:textId="77777777" w:rsidR="0051414D" w:rsidRDefault="0051414D" w:rsidP="0051414D">
      <w:pPr>
        <w:pStyle w:val="ListParagraph"/>
        <w:numPr>
          <w:ilvl w:val="0"/>
          <w:numId w:val="12"/>
        </w:numPr>
      </w:pPr>
      <w:r>
        <w:t xml:space="preserve">learners have the </w:t>
      </w:r>
      <w:r w:rsidRPr="00356B43">
        <w:rPr>
          <w:rStyle w:val="RedChar"/>
          <w:rFonts w:eastAsia="MS Mincho"/>
        </w:rPr>
        <w:t>opportunity</w:t>
      </w:r>
      <w:r>
        <w:t xml:space="preserve"> to</w:t>
      </w:r>
    </w:p>
    <w:p w14:paraId="33F43C8B" w14:textId="77777777" w:rsidR="0051414D" w:rsidRDefault="0051414D" w:rsidP="0051414D"/>
    <w:p w14:paraId="3BC37611" w14:textId="77777777" w:rsidR="0051414D" w:rsidRDefault="0051414D" w:rsidP="005B7948">
      <w:pPr>
        <w:spacing w:after="120"/>
      </w:pPr>
      <w:r>
        <w:t xml:space="preserve">Set out what learners 'do': </w:t>
      </w:r>
    </w:p>
    <w:p w14:paraId="7A1D84A0" w14:textId="4F1AB563" w:rsidR="0051414D" w:rsidRPr="000263D2" w:rsidRDefault="0051414D" w:rsidP="0051414D">
      <w:pPr>
        <w:pStyle w:val="ListParagraph"/>
        <w:numPr>
          <w:ilvl w:val="0"/>
          <w:numId w:val="13"/>
        </w:numPr>
      </w:pPr>
      <w:r>
        <w:t xml:space="preserve">learners </w:t>
      </w:r>
      <w:r w:rsidRPr="00356B43">
        <w:rPr>
          <w:i/>
          <w:iCs/>
        </w:rPr>
        <w:t>[</w:t>
      </w:r>
      <w:r w:rsidRPr="00C1049D">
        <w:rPr>
          <w:rStyle w:val="GreenChar"/>
          <w:rFonts w:eastAsia="MS Mincho"/>
          <w:b/>
          <w:bCs/>
          <w:color w:val="7030A0"/>
        </w:rPr>
        <w:t>verb</w:t>
      </w:r>
      <w:r w:rsidRPr="00356B43">
        <w:rPr>
          <w:i/>
          <w:iCs/>
        </w:rPr>
        <w:t>]</w:t>
      </w:r>
    </w:p>
    <w:p w14:paraId="4EAD88DB" w14:textId="140B4D34" w:rsidR="000263D2" w:rsidRDefault="000263D2" w:rsidP="000263D2">
      <w:pPr>
        <w:spacing w:after="120"/>
      </w:pPr>
      <w:r>
        <w:t>Set out the difference this makes:</w:t>
      </w:r>
    </w:p>
    <w:p w14:paraId="109D817C" w14:textId="17496DD7" w:rsidR="000263D2" w:rsidRPr="00356B43" w:rsidRDefault="000263D2" w:rsidP="000263D2">
      <w:pPr>
        <w:pStyle w:val="Black"/>
        <w:numPr>
          <w:ilvl w:val="0"/>
          <w:numId w:val="13"/>
        </w:numPr>
      </w:pPr>
      <w:r>
        <w:t xml:space="preserve">Learners are </w:t>
      </w:r>
      <w:r w:rsidRPr="000263D2">
        <w:rPr>
          <w:rStyle w:val="OrangeChar"/>
          <w:rFonts w:eastAsiaTheme="minorHAnsi"/>
          <w:b/>
          <w:bCs/>
        </w:rPr>
        <w:t>curious</w:t>
      </w:r>
      <w:r w:rsidRPr="000263D2">
        <w:t>.</w:t>
      </w:r>
    </w:p>
    <w:p w14:paraId="5975F3B9" w14:textId="77777777" w:rsidR="0051414D" w:rsidRDefault="0051414D" w:rsidP="0051414D"/>
    <w:p w14:paraId="1D13D4F4" w14:textId="77777777" w:rsidR="0051414D" w:rsidRDefault="0051414D" w:rsidP="0051414D">
      <w:pPr>
        <w:pStyle w:val="Heading3"/>
      </w:pPr>
      <w:r>
        <w:t>Examples</w:t>
      </w:r>
    </w:p>
    <w:p w14:paraId="16CA77C4" w14:textId="77777777" w:rsidR="0051414D" w:rsidRDefault="0051414D">
      <w:r>
        <w:t>Progress monitoring</w:t>
      </w:r>
    </w:p>
    <w:p w14:paraId="4E4C5F0B" w14:textId="3FD58A73" w:rsidR="0051414D" w:rsidRDefault="0051414D" w:rsidP="0051414D">
      <w:pPr>
        <w:pStyle w:val="ListParagraph"/>
        <w:numPr>
          <w:ilvl w:val="0"/>
          <w:numId w:val="13"/>
        </w:numPr>
      </w:pPr>
      <w:r w:rsidRPr="0051414D">
        <w:t>Goal setting</w:t>
      </w:r>
      <w:r>
        <w:t xml:space="preserve"> &gt; Career aspiration management</w:t>
      </w:r>
    </w:p>
    <w:p w14:paraId="7E2D26E7" w14:textId="0E5AB2E0" w:rsidR="0051414D" w:rsidRDefault="0051414D" w:rsidP="0051414D">
      <w:pPr>
        <w:pStyle w:val="ListParagraph"/>
        <w:numPr>
          <w:ilvl w:val="1"/>
          <w:numId w:val="13"/>
        </w:numPr>
      </w:pPr>
      <w:r>
        <w:t xml:space="preserve">Learners make </w:t>
      </w:r>
      <w:r w:rsidRPr="00C1049D">
        <w:rPr>
          <w:rStyle w:val="GreenChar"/>
          <w:rFonts w:eastAsia="MS Mincho"/>
          <w:b/>
          <w:bCs/>
          <w:color w:val="7030A0"/>
        </w:rPr>
        <w:t>informed</w:t>
      </w:r>
      <w:r w:rsidRPr="000263D2">
        <w:rPr>
          <w:color w:val="7030A0"/>
        </w:rPr>
        <w:t xml:space="preserve"> </w:t>
      </w:r>
      <w:r>
        <w:t xml:space="preserve">choices about their next steps and are </w:t>
      </w:r>
      <w:r w:rsidRPr="00C1049D">
        <w:rPr>
          <w:rStyle w:val="GreenChar"/>
          <w:rFonts w:eastAsia="MS Mincho"/>
          <w:b/>
          <w:bCs/>
          <w:color w:val="E36C0A" w:themeColor="accent6" w:themeShade="BF"/>
        </w:rPr>
        <w:t>inspired</w:t>
      </w:r>
      <w:r w:rsidRPr="000263D2">
        <w:rPr>
          <w:color w:val="E36C0A" w:themeColor="accent6" w:themeShade="BF"/>
        </w:rPr>
        <w:t xml:space="preserve"> </w:t>
      </w:r>
      <w:r>
        <w:t xml:space="preserve">to work towards a clear </w:t>
      </w:r>
      <w:r w:rsidRPr="000263D2">
        <w:rPr>
          <w:rFonts w:ascii="Open Sans" w:hAnsi="Open Sans" w:cs="Open Sans"/>
          <w:b/>
          <w:bCs/>
          <w:color w:val="00B050"/>
        </w:rPr>
        <w:t>goal</w:t>
      </w:r>
      <w:r w:rsidRPr="000263D2">
        <w:rPr>
          <w:color w:val="00B050"/>
        </w:rPr>
        <w:t xml:space="preserve"> </w:t>
      </w:r>
      <w:r>
        <w:t>or a narrow range of options.</w:t>
      </w:r>
    </w:p>
    <w:p w14:paraId="488CE2B6" w14:textId="58DA434E" w:rsidR="0079738C" w:rsidRDefault="0079738C" w:rsidP="0079738C">
      <w:pPr>
        <w:pStyle w:val="ListParagraph"/>
        <w:numPr>
          <w:ilvl w:val="0"/>
          <w:numId w:val="13"/>
        </w:numPr>
      </w:pPr>
      <w:r w:rsidRPr="0079738C">
        <w:t>Attainment monitoring</w:t>
      </w:r>
      <w:r>
        <w:t xml:space="preserve"> &gt; </w:t>
      </w:r>
      <w:r w:rsidRPr="0079738C">
        <w:t>Progress with English and maths</w:t>
      </w:r>
    </w:p>
    <w:p w14:paraId="4854F076" w14:textId="4812CC61" w:rsidR="0079738C" w:rsidRDefault="0079738C" w:rsidP="0079738C">
      <w:pPr>
        <w:pStyle w:val="ListParagraph"/>
        <w:numPr>
          <w:ilvl w:val="1"/>
          <w:numId w:val="13"/>
        </w:numPr>
      </w:pPr>
      <w:r w:rsidRPr="0079738C">
        <w:t xml:space="preserve">Learners </w:t>
      </w:r>
      <w:r w:rsidRPr="00C1049D">
        <w:rPr>
          <w:rStyle w:val="GreenChar"/>
          <w:rFonts w:eastAsia="MS Mincho"/>
          <w:b/>
          <w:bCs/>
          <w:color w:val="7030A0"/>
        </w:rPr>
        <w:t>use</w:t>
      </w:r>
      <w:r w:rsidRPr="000263D2">
        <w:rPr>
          <w:color w:val="7030A0"/>
        </w:rPr>
        <w:t xml:space="preserve"> </w:t>
      </w:r>
      <w:r w:rsidRPr="0079738C">
        <w:t xml:space="preserve">their </w:t>
      </w:r>
      <w:r w:rsidRPr="000263D2">
        <w:rPr>
          <w:rFonts w:ascii="Open Sans" w:hAnsi="Open Sans" w:cs="Open Sans"/>
          <w:b/>
          <w:bCs/>
          <w:color w:val="00B050"/>
        </w:rPr>
        <w:t>English and maths</w:t>
      </w:r>
      <w:r w:rsidRPr="000263D2">
        <w:rPr>
          <w:color w:val="00B050"/>
        </w:rPr>
        <w:t xml:space="preserve"> </w:t>
      </w:r>
      <w:r w:rsidRPr="0079738C">
        <w:t xml:space="preserve">skills </w:t>
      </w:r>
      <w:r w:rsidRPr="000263D2">
        <w:rPr>
          <w:b/>
          <w:bCs/>
          <w:color w:val="E36C0A" w:themeColor="accent6" w:themeShade="BF"/>
        </w:rPr>
        <w:t>confidently</w:t>
      </w:r>
      <w:r w:rsidRPr="0079738C">
        <w:t xml:space="preserve">, as tools to </w:t>
      </w:r>
      <w:r w:rsidRPr="000263D2">
        <w:rPr>
          <w:b/>
          <w:bCs/>
          <w:color w:val="E36C0A" w:themeColor="accent6" w:themeShade="BF"/>
        </w:rPr>
        <w:t>address the challenges they face</w:t>
      </w:r>
      <w:r w:rsidRPr="000263D2">
        <w:rPr>
          <w:color w:val="E36C0A" w:themeColor="accent6" w:themeShade="BF"/>
        </w:rPr>
        <w:t xml:space="preserve"> </w:t>
      </w:r>
      <w:r w:rsidRPr="0079738C">
        <w:t xml:space="preserve">on their programmes of study. All learners </w:t>
      </w:r>
      <w:r w:rsidRPr="00C1049D">
        <w:rPr>
          <w:b/>
          <w:bCs/>
          <w:color w:val="E36C0A" w:themeColor="accent6" w:themeShade="BF"/>
        </w:rPr>
        <w:t>meet</w:t>
      </w:r>
      <w:r w:rsidRPr="00C1049D">
        <w:rPr>
          <w:color w:val="E36C0A" w:themeColor="accent6" w:themeShade="BF"/>
        </w:rPr>
        <w:t xml:space="preserve"> </w:t>
      </w:r>
      <w:r w:rsidRPr="0079738C">
        <w:t>the minimum standards required to progress.</w:t>
      </w:r>
    </w:p>
    <w:p w14:paraId="105CDA8D" w14:textId="77777777" w:rsidR="005B7948" w:rsidRDefault="005B7948" w:rsidP="005B7948"/>
    <w:p w14:paraId="1A039396" w14:textId="47F68056" w:rsidR="00A24ACE" w:rsidRDefault="00C1049D" w:rsidP="00A24ACE">
      <w:pPr>
        <w:pStyle w:val="Heading3"/>
      </w:pPr>
      <w:r>
        <w:t>Writing t</w:t>
      </w:r>
      <w:r w:rsidR="00A24ACE">
        <w:t xml:space="preserve">ask </w:t>
      </w:r>
    </w:p>
    <w:p w14:paraId="41EB39FC" w14:textId="77777777" w:rsidR="00A24ACE" w:rsidRDefault="00A24ACE" w:rsidP="00A24ACE">
      <w:pPr>
        <w:pStyle w:val="Black"/>
        <w:numPr>
          <w:ilvl w:val="0"/>
          <w:numId w:val="15"/>
        </w:numPr>
      </w:pPr>
      <w:r>
        <w:t xml:space="preserve">Choose an Element heading from the Jamboard. </w:t>
      </w:r>
    </w:p>
    <w:p w14:paraId="3D2D95FA" w14:textId="312A7D95" w:rsidR="00A24ACE" w:rsidRDefault="00A24ACE" w:rsidP="00A24ACE">
      <w:pPr>
        <w:pStyle w:val="Black"/>
        <w:numPr>
          <w:ilvl w:val="0"/>
          <w:numId w:val="15"/>
        </w:numPr>
      </w:pPr>
      <w:r>
        <w:t>Claim the Element by changing the text colour to red.</w:t>
      </w:r>
    </w:p>
    <w:p w14:paraId="12A5193F" w14:textId="77777777" w:rsidR="00A24ACE" w:rsidRDefault="00A24ACE" w:rsidP="00A24ACE">
      <w:pPr>
        <w:pStyle w:val="Black"/>
        <w:numPr>
          <w:ilvl w:val="0"/>
          <w:numId w:val="15"/>
        </w:numPr>
      </w:pPr>
      <w:r>
        <w:t xml:space="preserve">In the wiki, claim a row by adding your initials to column 2. </w:t>
      </w:r>
    </w:p>
    <w:p w14:paraId="4E157DB5" w14:textId="06817A8D" w:rsidR="00A24ACE" w:rsidRDefault="00A24ACE" w:rsidP="00A24ACE">
      <w:pPr>
        <w:pStyle w:val="Black"/>
        <w:numPr>
          <w:ilvl w:val="0"/>
          <w:numId w:val="15"/>
        </w:numPr>
      </w:pPr>
      <w:r>
        <w:t xml:space="preserve">Then type in the </w:t>
      </w:r>
      <w:r w:rsidRPr="00A24ACE">
        <w:rPr>
          <w:i/>
          <w:iCs/>
        </w:rPr>
        <w:t>Aspect</w:t>
      </w:r>
      <w:r>
        <w:t xml:space="preserve"> and </w:t>
      </w:r>
      <w:r w:rsidRPr="00A24ACE">
        <w:rPr>
          <w:i/>
          <w:iCs/>
        </w:rPr>
        <w:t>Element</w:t>
      </w:r>
      <w:r>
        <w:t xml:space="preserve"> headings you're going to work on, and finally write the impact text for it in column 5. </w:t>
      </w:r>
    </w:p>
    <w:p w14:paraId="30472DF8" w14:textId="35BB4628" w:rsidR="00A24ACE" w:rsidRDefault="00A24ACE" w:rsidP="00A24ACE">
      <w:pPr>
        <w:pStyle w:val="Black"/>
      </w:pPr>
    </w:p>
    <w:p w14:paraId="6C7F35CF" w14:textId="305EBD7D" w:rsidR="00A24ACE" w:rsidRDefault="00A24ACE" w:rsidP="00A24ACE">
      <w:pPr>
        <w:pStyle w:val="Black"/>
      </w:pPr>
      <w:r>
        <w:t xml:space="preserve">NB. There's space to work out your text </w:t>
      </w:r>
      <w:r w:rsidR="00C1049D">
        <w:t>on page 5</w:t>
      </w:r>
      <w:r>
        <w:t xml:space="preserve">. </w:t>
      </w:r>
    </w:p>
    <w:p w14:paraId="24B084DF" w14:textId="02018B86" w:rsidR="00656220" w:rsidRDefault="00656220">
      <w:r>
        <w:br w:type="page"/>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43"/>
        <w:gridCol w:w="6520"/>
      </w:tblGrid>
      <w:tr w:rsidR="00656220" w14:paraId="2CC40E5A" w14:textId="77777777" w:rsidTr="00A24ACE">
        <w:trPr>
          <w:trHeight w:val="460"/>
        </w:trPr>
        <w:tc>
          <w:tcPr>
            <w:tcW w:w="1675" w:type="dxa"/>
            <w:shd w:val="clear" w:color="auto" w:fill="C2D69B" w:themeFill="accent3" w:themeFillTint="99"/>
            <w:vAlign w:val="center"/>
          </w:tcPr>
          <w:p w14:paraId="22E61BDB" w14:textId="77777777" w:rsidR="00656220" w:rsidRPr="00A24ACE" w:rsidRDefault="00656220" w:rsidP="001710D7">
            <w:pPr>
              <w:keepNext/>
              <w:spacing w:after="40"/>
              <w:rPr>
                <w:rFonts w:ascii="Arial" w:eastAsia="Arial" w:hAnsi="Arial" w:cs="Arial"/>
                <w:color w:val="FFFFFF" w:themeColor="background1"/>
                <w:sz w:val="24"/>
                <w:szCs w:val="24"/>
              </w:rPr>
            </w:pPr>
            <w:r w:rsidRPr="00A24ACE">
              <w:rPr>
                <w:rFonts w:ascii="Arial" w:hAnsi="Arial" w:cs="Arial"/>
                <w:color w:val="4F6228" w:themeColor="accent3" w:themeShade="80"/>
                <w:sz w:val="24"/>
                <w:szCs w:val="24"/>
              </w:rPr>
              <w:lastRenderedPageBreak/>
              <w:t>Area</w:t>
            </w:r>
          </w:p>
        </w:tc>
        <w:tc>
          <w:tcPr>
            <w:tcW w:w="8363" w:type="dxa"/>
            <w:gridSpan w:val="2"/>
            <w:shd w:val="clear" w:color="auto" w:fill="C2D69B" w:themeFill="accent3" w:themeFillTint="99"/>
            <w:vAlign w:val="center"/>
          </w:tcPr>
          <w:p w14:paraId="70C766EA" w14:textId="5F54B37B" w:rsidR="00656220" w:rsidRPr="00A24ACE" w:rsidRDefault="00656CB7" w:rsidP="001710D7">
            <w:pPr>
              <w:keepNext/>
              <w:spacing w:after="40"/>
              <w:rPr>
                <w:rFonts w:ascii="Arial" w:eastAsia="Arial" w:hAnsi="Arial" w:cs="Arial"/>
                <w:color w:val="4F6228" w:themeColor="accent3" w:themeShade="80"/>
                <w:sz w:val="24"/>
                <w:szCs w:val="24"/>
              </w:rPr>
            </w:pPr>
            <w:r>
              <w:rPr>
                <w:rFonts w:ascii="Arial" w:eastAsia="Arial" w:hAnsi="Arial" w:cs="Arial"/>
                <w:color w:val="4F6228" w:themeColor="accent3" w:themeShade="80"/>
                <w:sz w:val="24"/>
                <w:szCs w:val="24"/>
              </w:rPr>
              <w:t>Recruitment</w:t>
            </w:r>
          </w:p>
        </w:tc>
      </w:tr>
      <w:tr w:rsidR="00656220" w14:paraId="5A0199E8" w14:textId="77777777" w:rsidTr="00A24ACE">
        <w:trPr>
          <w:trHeight w:val="460"/>
        </w:trPr>
        <w:tc>
          <w:tcPr>
            <w:tcW w:w="1675" w:type="dxa"/>
            <w:shd w:val="clear" w:color="auto" w:fill="B8CCE4" w:themeFill="accent1" w:themeFillTint="66"/>
            <w:vAlign w:val="center"/>
          </w:tcPr>
          <w:p w14:paraId="78676989" w14:textId="77777777" w:rsidR="00656220" w:rsidRPr="00A24ACE" w:rsidRDefault="00656220" w:rsidP="001710D7">
            <w:pPr>
              <w:keepNext/>
              <w:spacing w:after="40"/>
              <w:rPr>
                <w:color w:val="0070C0"/>
              </w:rPr>
            </w:pPr>
            <w:r w:rsidRPr="00A24ACE">
              <w:rPr>
                <w:rFonts w:ascii="Arial" w:eastAsia="Arial" w:hAnsi="Arial" w:cs="Arial"/>
                <w:color w:val="0070C0"/>
              </w:rPr>
              <w:t>Aspect</w:t>
            </w:r>
          </w:p>
        </w:tc>
        <w:tc>
          <w:tcPr>
            <w:tcW w:w="1843" w:type="dxa"/>
            <w:shd w:val="clear" w:color="auto" w:fill="B8CCE4" w:themeFill="accent1" w:themeFillTint="66"/>
            <w:vAlign w:val="center"/>
          </w:tcPr>
          <w:p w14:paraId="32489A9E" w14:textId="77777777" w:rsidR="00656220" w:rsidRPr="00A24ACE" w:rsidRDefault="00656220" w:rsidP="001710D7">
            <w:pPr>
              <w:keepNext/>
              <w:spacing w:after="40"/>
              <w:rPr>
                <w:color w:val="0070C0"/>
              </w:rPr>
            </w:pPr>
            <w:r w:rsidRPr="00A24ACE">
              <w:rPr>
                <w:rFonts w:ascii="Arial" w:eastAsia="Arial" w:hAnsi="Arial" w:cs="Arial"/>
                <w:color w:val="0070C0"/>
              </w:rPr>
              <w:t>Elements</w:t>
            </w:r>
          </w:p>
        </w:tc>
        <w:tc>
          <w:tcPr>
            <w:tcW w:w="6520" w:type="dxa"/>
            <w:tcBorders>
              <w:top w:val="single" w:sz="4" w:space="0" w:color="000000"/>
            </w:tcBorders>
            <w:shd w:val="clear" w:color="auto" w:fill="B8CCE4" w:themeFill="accent1" w:themeFillTint="66"/>
            <w:vAlign w:val="center"/>
          </w:tcPr>
          <w:p w14:paraId="26605DF7" w14:textId="77777777" w:rsidR="00656220" w:rsidRPr="00A24ACE" w:rsidRDefault="00656220" w:rsidP="001710D7">
            <w:pPr>
              <w:keepNext/>
              <w:spacing w:after="40"/>
              <w:rPr>
                <w:color w:val="0070C0"/>
              </w:rPr>
            </w:pPr>
            <w:r w:rsidRPr="00A24ACE">
              <w:rPr>
                <w:rFonts w:ascii="Arial" w:eastAsia="Arial" w:hAnsi="Arial" w:cs="Arial"/>
                <w:color w:val="0070C0"/>
              </w:rPr>
              <w:t xml:space="preserve">Gold Standard intended </w:t>
            </w:r>
            <w:r w:rsidRPr="00C1049D">
              <w:rPr>
                <w:rFonts w:ascii="Arial" w:eastAsia="Arial" w:hAnsi="Arial" w:cs="Arial"/>
                <w:color w:val="E36C0A" w:themeColor="accent6" w:themeShade="BF"/>
              </w:rPr>
              <w:t>impact</w:t>
            </w:r>
            <w:r w:rsidRPr="00A24ACE">
              <w:rPr>
                <w:rFonts w:ascii="Arial" w:eastAsia="Arial" w:hAnsi="Arial" w:cs="Arial"/>
                <w:color w:val="0070C0"/>
              </w:rPr>
              <w:t xml:space="preserve">: </w:t>
            </w:r>
          </w:p>
        </w:tc>
      </w:tr>
      <w:tr w:rsidR="00656220" w14:paraId="07823D7F" w14:textId="77777777" w:rsidTr="00A24ACE">
        <w:trPr>
          <w:trHeight w:val="2547"/>
        </w:trPr>
        <w:tc>
          <w:tcPr>
            <w:tcW w:w="1675" w:type="dxa"/>
            <w:shd w:val="clear" w:color="auto" w:fill="DBE5F1"/>
          </w:tcPr>
          <w:p w14:paraId="0A7A3692" w14:textId="77777777" w:rsidR="00656220" w:rsidRDefault="00656220" w:rsidP="001710D7"/>
          <w:p w14:paraId="0D8C37FD" w14:textId="77777777" w:rsidR="00656220" w:rsidRDefault="00656220" w:rsidP="001710D7"/>
          <w:p w14:paraId="574C9A2F" w14:textId="77777777" w:rsidR="00656220" w:rsidRDefault="00656220" w:rsidP="001710D7"/>
          <w:p w14:paraId="30C3DC89" w14:textId="77777777" w:rsidR="00656220" w:rsidRDefault="00656220" w:rsidP="001710D7"/>
          <w:p w14:paraId="64F036FA" w14:textId="77777777" w:rsidR="00656220" w:rsidRDefault="00656220" w:rsidP="001710D7"/>
          <w:p w14:paraId="6E7A1266" w14:textId="77777777" w:rsidR="00656220" w:rsidRDefault="00656220" w:rsidP="001710D7"/>
        </w:tc>
        <w:tc>
          <w:tcPr>
            <w:tcW w:w="1843" w:type="dxa"/>
            <w:shd w:val="clear" w:color="auto" w:fill="F2F2F2"/>
          </w:tcPr>
          <w:p w14:paraId="5C20BD60" w14:textId="77777777" w:rsidR="00656220" w:rsidRDefault="00656220" w:rsidP="001710D7"/>
        </w:tc>
        <w:tc>
          <w:tcPr>
            <w:tcW w:w="6520" w:type="dxa"/>
            <w:shd w:val="clear" w:color="auto" w:fill="F2F2F2"/>
          </w:tcPr>
          <w:p w14:paraId="6F0E027C" w14:textId="77777777" w:rsidR="00656220" w:rsidRDefault="00656220" w:rsidP="001710D7"/>
        </w:tc>
      </w:tr>
      <w:tr w:rsidR="00656220" w14:paraId="4DCA85D9" w14:textId="77777777" w:rsidTr="00A24ACE">
        <w:trPr>
          <w:trHeight w:val="2547"/>
        </w:trPr>
        <w:tc>
          <w:tcPr>
            <w:tcW w:w="1675" w:type="dxa"/>
            <w:shd w:val="clear" w:color="auto" w:fill="DBE5F1"/>
          </w:tcPr>
          <w:p w14:paraId="2A7DDAB9" w14:textId="77777777" w:rsidR="00656220" w:rsidRDefault="00656220" w:rsidP="001710D7"/>
          <w:p w14:paraId="393CBDC7" w14:textId="77777777" w:rsidR="00656220" w:rsidRDefault="00656220" w:rsidP="001710D7"/>
          <w:p w14:paraId="6A495B93" w14:textId="77777777" w:rsidR="00656220" w:rsidRDefault="00656220" w:rsidP="001710D7"/>
          <w:p w14:paraId="1B4AFFE7" w14:textId="77777777" w:rsidR="00656220" w:rsidRDefault="00656220" w:rsidP="001710D7"/>
          <w:p w14:paraId="2748112B" w14:textId="77777777" w:rsidR="00656220" w:rsidRDefault="00656220" w:rsidP="001710D7"/>
          <w:p w14:paraId="12C766B5" w14:textId="77777777" w:rsidR="00656220" w:rsidRDefault="00656220" w:rsidP="001710D7"/>
        </w:tc>
        <w:tc>
          <w:tcPr>
            <w:tcW w:w="1843" w:type="dxa"/>
            <w:shd w:val="clear" w:color="auto" w:fill="F2F2F2"/>
          </w:tcPr>
          <w:p w14:paraId="06BBD731" w14:textId="77777777" w:rsidR="00656220" w:rsidRDefault="00656220" w:rsidP="001710D7"/>
        </w:tc>
        <w:tc>
          <w:tcPr>
            <w:tcW w:w="6520" w:type="dxa"/>
            <w:shd w:val="clear" w:color="auto" w:fill="F2F2F2"/>
          </w:tcPr>
          <w:p w14:paraId="6F3B376F" w14:textId="77777777" w:rsidR="00656220" w:rsidRDefault="00656220" w:rsidP="001710D7"/>
        </w:tc>
      </w:tr>
      <w:tr w:rsidR="00656220" w14:paraId="57535C2F" w14:textId="77777777" w:rsidTr="00A24ACE">
        <w:trPr>
          <w:trHeight w:val="2547"/>
        </w:trPr>
        <w:tc>
          <w:tcPr>
            <w:tcW w:w="1675" w:type="dxa"/>
            <w:shd w:val="clear" w:color="auto" w:fill="DBE5F1"/>
          </w:tcPr>
          <w:p w14:paraId="78065496" w14:textId="77777777" w:rsidR="00656220" w:rsidRDefault="00656220" w:rsidP="001710D7"/>
        </w:tc>
        <w:tc>
          <w:tcPr>
            <w:tcW w:w="1843" w:type="dxa"/>
            <w:shd w:val="clear" w:color="auto" w:fill="F2F2F2"/>
          </w:tcPr>
          <w:p w14:paraId="25E7F136" w14:textId="77777777" w:rsidR="00656220" w:rsidRDefault="00656220" w:rsidP="001710D7"/>
        </w:tc>
        <w:tc>
          <w:tcPr>
            <w:tcW w:w="6520" w:type="dxa"/>
            <w:shd w:val="clear" w:color="auto" w:fill="F2F2F2"/>
          </w:tcPr>
          <w:p w14:paraId="4E1D5BB0" w14:textId="77777777" w:rsidR="00656220" w:rsidRDefault="00656220" w:rsidP="001710D7"/>
        </w:tc>
      </w:tr>
      <w:tr w:rsidR="00656220" w14:paraId="6A9681D0" w14:textId="77777777" w:rsidTr="00A24ACE">
        <w:trPr>
          <w:trHeight w:val="2547"/>
        </w:trPr>
        <w:tc>
          <w:tcPr>
            <w:tcW w:w="1675" w:type="dxa"/>
            <w:shd w:val="clear" w:color="auto" w:fill="DBE5F1"/>
          </w:tcPr>
          <w:p w14:paraId="46B4AEBC" w14:textId="77777777" w:rsidR="00656220" w:rsidRDefault="00656220" w:rsidP="001710D7"/>
        </w:tc>
        <w:tc>
          <w:tcPr>
            <w:tcW w:w="1843" w:type="dxa"/>
            <w:shd w:val="clear" w:color="auto" w:fill="F2F2F2"/>
          </w:tcPr>
          <w:p w14:paraId="1CA02A01" w14:textId="77777777" w:rsidR="00656220" w:rsidRDefault="00656220" w:rsidP="001710D7"/>
        </w:tc>
        <w:tc>
          <w:tcPr>
            <w:tcW w:w="6520" w:type="dxa"/>
            <w:shd w:val="clear" w:color="auto" w:fill="F2F2F2"/>
          </w:tcPr>
          <w:p w14:paraId="47783BAF" w14:textId="77777777" w:rsidR="00656220" w:rsidRDefault="00656220" w:rsidP="001710D7"/>
        </w:tc>
      </w:tr>
      <w:tr w:rsidR="00656220" w14:paraId="610FEE75" w14:textId="77777777" w:rsidTr="00A24ACE">
        <w:trPr>
          <w:trHeight w:val="2547"/>
        </w:trPr>
        <w:tc>
          <w:tcPr>
            <w:tcW w:w="1675" w:type="dxa"/>
            <w:shd w:val="clear" w:color="auto" w:fill="DBE5F1"/>
          </w:tcPr>
          <w:p w14:paraId="70E6B248" w14:textId="77777777" w:rsidR="00656220" w:rsidRDefault="00656220" w:rsidP="001710D7"/>
        </w:tc>
        <w:tc>
          <w:tcPr>
            <w:tcW w:w="1843" w:type="dxa"/>
            <w:shd w:val="clear" w:color="auto" w:fill="F2F2F2"/>
          </w:tcPr>
          <w:p w14:paraId="5D5271E2" w14:textId="77777777" w:rsidR="00656220" w:rsidRDefault="00656220" w:rsidP="001710D7"/>
        </w:tc>
        <w:tc>
          <w:tcPr>
            <w:tcW w:w="6520" w:type="dxa"/>
            <w:shd w:val="clear" w:color="auto" w:fill="F2F2F2"/>
          </w:tcPr>
          <w:p w14:paraId="3EE7E383" w14:textId="77777777" w:rsidR="00656220" w:rsidRDefault="00656220" w:rsidP="001710D7"/>
        </w:tc>
      </w:tr>
      <w:bookmarkEnd w:id="0"/>
    </w:tbl>
    <w:p w14:paraId="36F61AA4" w14:textId="2ADCA5F4" w:rsidR="00CE3B5D" w:rsidRDefault="00CE3B5D">
      <w:pPr>
        <w:rPr>
          <w:rFonts w:ascii="Kozuka Gothic Pro EL" w:hAnsi="Kozuka Gothic Pro EL" w:cs="Tahoma"/>
          <w:color w:val="365F91" w:themeColor="accent1" w:themeShade="BF"/>
          <w:sz w:val="28"/>
          <w:szCs w:val="18"/>
        </w:rPr>
      </w:pPr>
    </w:p>
    <w:sectPr w:rsidR="00CE3B5D" w:rsidSect="00576233">
      <w:headerReference w:type="default" r:id="rId11"/>
      <w:footerReference w:type="default" r:id="rId12"/>
      <w:headerReference w:type="first" r:id="rId13"/>
      <w:footerReference w:type="first" r:id="rId14"/>
      <w:pgSz w:w="11906" w:h="16838" w:code="9"/>
      <w:pgMar w:top="1135" w:right="1134" w:bottom="992" w:left="1276" w:header="425"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2543" w14:textId="77777777" w:rsidR="00FD7879" w:rsidRDefault="00FD7879" w:rsidP="000D5CB2">
      <w:r>
        <w:separator/>
      </w:r>
    </w:p>
  </w:endnote>
  <w:endnote w:type="continuationSeparator" w:id="0">
    <w:p w14:paraId="788BE113" w14:textId="77777777" w:rsidR="00FD7879" w:rsidRDefault="00FD7879"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altName w:val="Segoe UI"/>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856C" w14:textId="6E48888B"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144B4343" wp14:editId="26602082">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sidR="00F00E14">
      <w:rPr>
        <w:sz w:val="14"/>
      </w:rPr>
      <w:t xml:space="preserve"> Tony Davis 202</w:t>
    </w:r>
    <w:r w:rsidR="005B7948">
      <w:rPr>
        <w:sz w:val="14"/>
      </w:rPr>
      <w:t>2</w:t>
    </w:r>
  </w:p>
  <w:p w14:paraId="70345234" w14:textId="77777777" w:rsidR="00EB3AC3" w:rsidRDefault="00000000" w:rsidP="000C2F4C">
    <w:pPr>
      <w:pStyle w:val="Footer"/>
      <w:tabs>
        <w:tab w:val="clear" w:pos="9026"/>
      </w:tabs>
      <w:jc w:val="right"/>
      <w:rPr>
        <w:rStyle w:val="Hyperlink"/>
      </w:rPr>
    </w:pPr>
    <w:hyperlink r:id="rId2" w:history="1">
      <w:r w:rsidR="00EB3AC3" w:rsidRPr="0041745F">
        <w:rPr>
          <w:rStyle w:val="Hyperlink"/>
        </w:rPr>
        <w:t>www.ccqi.org.uk</w:t>
      </w:r>
    </w:hyperlink>
  </w:p>
  <w:p w14:paraId="34168252" w14:textId="20DB7FF8" w:rsidR="005B7948" w:rsidRDefault="005B7948" w:rsidP="000C2F4C">
    <w:pPr>
      <w:pStyle w:val="Footer"/>
      <w:tabs>
        <w:tab w:val="clear" w:pos="9026"/>
      </w:tabs>
      <w:jc w:val="right"/>
      <w:rPr>
        <w:rFonts w:eastAsia="MS PGothic"/>
        <w:sz w:val="14"/>
        <w:lang w:val="de-DE"/>
      </w:rPr>
    </w:pPr>
    <w:r>
      <w:rPr>
        <w:rFonts w:eastAsia="MS PGothic"/>
        <w:sz w:val="14"/>
        <w:lang w:val="de-DE"/>
      </w:rPr>
      <w:t>LinkedIn: @Tony Davis</w:t>
    </w:r>
  </w:p>
  <w:p w14:paraId="22428A28" w14:textId="59EEAAAD"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4B41" w14:textId="0E2B38D1"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50CBD36C" wp14:editId="367AB8EA">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w:t>
    </w:r>
    <w:r w:rsidR="00576233">
      <w:rPr>
        <w:sz w:val="14"/>
      </w:rPr>
      <w:t>22</w:t>
    </w:r>
  </w:p>
  <w:p w14:paraId="497FC3F2" w14:textId="77777777" w:rsidR="003E6FC4" w:rsidRDefault="00000000" w:rsidP="003E6FC4">
    <w:pPr>
      <w:pStyle w:val="Footer"/>
      <w:ind w:right="141"/>
      <w:jc w:val="right"/>
      <w:rPr>
        <w:rStyle w:val="Hyperlink"/>
      </w:rPr>
    </w:pPr>
    <w:hyperlink r:id="rId2" w:history="1">
      <w:r w:rsidR="003E6FC4" w:rsidRPr="0041745F">
        <w:rPr>
          <w:rStyle w:val="Hyperlink"/>
        </w:rPr>
        <w:t>www.ccqi.org.uk</w:t>
      </w:r>
    </w:hyperlink>
  </w:p>
  <w:p w14:paraId="458CF1C2"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CA3D" w14:textId="77777777" w:rsidR="00FD7879" w:rsidRDefault="00FD7879" w:rsidP="000D5CB2">
      <w:r>
        <w:separator/>
      </w:r>
    </w:p>
  </w:footnote>
  <w:footnote w:type="continuationSeparator" w:id="0">
    <w:p w14:paraId="5DC25454" w14:textId="77777777" w:rsidR="00FD7879" w:rsidRDefault="00FD7879"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209383"/>
      <w:docPartObj>
        <w:docPartGallery w:val="Page Numbers (Top of Page)"/>
        <w:docPartUnique/>
      </w:docPartObj>
    </w:sdtPr>
    <w:sdtEndPr>
      <w:rPr>
        <w:b/>
        <w:bCs/>
        <w:noProof/>
        <w:color w:val="auto"/>
        <w:spacing w:val="0"/>
      </w:rPr>
    </w:sdtEndPr>
    <w:sdtContent>
      <w:p w14:paraId="69DAF9D6" w14:textId="5F1D7FC8" w:rsidR="00C1049D" w:rsidRDefault="00C1049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FBBB57C" w14:textId="77777777" w:rsidR="00C1049D" w:rsidRDefault="00C10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D08D" w14:textId="792FA9AE" w:rsidR="00C16BB9" w:rsidRDefault="00C16BB9">
    <w:pPr>
      <w:pStyle w:val="Header"/>
      <w:jc w:val="right"/>
    </w:pPr>
  </w:p>
  <w:p w14:paraId="157D915C"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D37"/>
    <w:multiLevelType w:val="hybridMultilevel"/>
    <w:tmpl w:val="922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6CCD"/>
    <w:multiLevelType w:val="hybridMultilevel"/>
    <w:tmpl w:val="8C3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C1D35"/>
    <w:multiLevelType w:val="hybridMultilevel"/>
    <w:tmpl w:val="6E1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87280"/>
    <w:multiLevelType w:val="hybridMultilevel"/>
    <w:tmpl w:val="DF3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1457A"/>
    <w:multiLevelType w:val="hybridMultilevel"/>
    <w:tmpl w:val="684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41671"/>
    <w:multiLevelType w:val="hybridMultilevel"/>
    <w:tmpl w:val="22BAC4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0B097F"/>
    <w:multiLevelType w:val="hybridMultilevel"/>
    <w:tmpl w:val="EECC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A196A"/>
    <w:multiLevelType w:val="hybridMultilevel"/>
    <w:tmpl w:val="5A9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43F5F"/>
    <w:multiLevelType w:val="hybridMultilevel"/>
    <w:tmpl w:val="F29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7589F"/>
    <w:multiLevelType w:val="hybridMultilevel"/>
    <w:tmpl w:val="0868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13DC1"/>
    <w:multiLevelType w:val="hybridMultilevel"/>
    <w:tmpl w:val="7CECC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47CE5"/>
    <w:multiLevelType w:val="hybridMultilevel"/>
    <w:tmpl w:val="F58C9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45D9A"/>
    <w:multiLevelType w:val="hybridMultilevel"/>
    <w:tmpl w:val="67D4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3077"/>
    <w:multiLevelType w:val="hybridMultilevel"/>
    <w:tmpl w:val="1A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0F4CA9"/>
    <w:multiLevelType w:val="hybridMultilevel"/>
    <w:tmpl w:val="6BF2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D7B61"/>
    <w:multiLevelType w:val="hybridMultilevel"/>
    <w:tmpl w:val="1A0A3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255D92"/>
    <w:multiLevelType w:val="hybridMultilevel"/>
    <w:tmpl w:val="C30C3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81FA6"/>
    <w:multiLevelType w:val="hybridMultilevel"/>
    <w:tmpl w:val="8D7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703">
    <w:abstractNumId w:val="5"/>
  </w:num>
  <w:num w:numId="2" w16cid:durableId="63187271">
    <w:abstractNumId w:val="10"/>
  </w:num>
  <w:num w:numId="3" w16cid:durableId="1946115447">
    <w:abstractNumId w:val="7"/>
  </w:num>
  <w:num w:numId="4" w16cid:durableId="298535739">
    <w:abstractNumId w:val="14"/>
  </w:num>
  <w:num w:numId="5" w16cid:durableId="790393282">
    <w:abstractNumId w:val="2"/>
  </w:num>
  <w:num w:numId="6" w16cid:durableId="1762487836">
    <w:abstractNumId w:val="8"/>
  </w:num>
  <w:num w:numId="7" w16cid:durableId="1531407065">
    <w:abstractNumId w:val="3"/>
  </w:num>
  <w:num w:numId="8" w16cid:durableId="181363407">
    <w:abstractNumId w:val="12"/>
  </w:num>
  <w:num w:numId="9" w16cid:durableId="1045954968">
    <w:abstractNumId w:val="16"/>
  </w:num>
  <w:num w:numId="10" w16cid:durableId="1962805449">
    <w:abstractNumId w:val="4"/>
  </w:num>
  <w:num w:numId="11" w16cid:durableId="1203011460">
    <w:abstractNumId w:val="15"/>
  </w:num>
  <w:num w:numId="12" w16cid:durableId="1250770347">
    <w:abstractNumId w:val="0"/>
  </w:num>
  <w:num w:numId="13" w16cid:durableId="1276208771">
    <w:abstractNumId w:val="17"/>
  </w:num>
  <w:num w:numId="14" w16cid:durableId="2102873027">
    <w:abstractNumId w:val="1"/>
  </w:num>
  <w:num w:numId="15" w16cid:durableId="557716188">
    <w:abstractNumId w:val="6"/>
  </w:num>
  <w:num w:numId="16" w16cid:durableId="1431270109">
    <w:abstractNumId w:val="9"/>
  </w:num>
  <w:num w:numId="17" w16cid:durableId="1000543102">
    <w:abstractNumId w:val="18"/>
  </w:num>
  <w:num w:numId="18" w16cid:durableId="2021658126">
    <w:abstractNumId w:val="13"/>
  </w:num>
  <w:num w:numId="19" w16cid:durableId="13642075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C9"/>
    <w:rsid w:val="0000084E"/>
    <w:rsid w:val="000021C0"/>
    <w:rsid w:val="0000269A"/>
    <w:rsid w:val="000250F7"/>
    <w:rsid w:val="0002525F"/>
    <w:rsid w:val="00025A05"/>
    <w:rsid w:val="000263D2"/>
    <w:rsid w:val="00026700"/>
    <w:rsid w:val="00026CD9"/>
    <w:rsid w:val="00051FC8"/>
    <w:rsid w:val="000540B8"/>
    <w:rsid w:val="000817CF"/>
    <w:rsid w:val="000821C8"/>
    <w:rsid w:val="00093B12"/>
    <w:rsid w:val="000A0D3A"/>
    <w:rsid w:val="000A6C54"/>
    <w:rsid w:val="000B3184"/>
    <w:rsid w:val="000B4191"/>
    <w:rsid w:val="000B4E2A"/>
    <w:rsid w:val="000B6DC4"/>
    <w:rsid w:val="000C1323"/>
    <w:rsid w:val="000C2F4C"/>
    <w:rsid w:val="000D0760"/>
    <w:rsid w:val="000D0F33"/>
    <w:rsid w:val="000D1C52"/>
    <w:rsid w:val="000D5CB2"/>
    <w:rsid w:val="000E27BC"/>
    <w:rsid w:val="000F1535"/>
    <w:rsid w:val="000F1FDD"/>
    <w:rsid w:val="0010537A"/>
    <w:rsid w:val="001067DD"/>
    <w:rsid w:val="001076CF"/>
    <w:rsid w:val="00111B90"/>
    <w:rsid w:val="00113673"/>
    <w:rsid w:val="001152CB"/>
    <w:rsid w:val="00123594"/>
    <w:rsid w:val="0012443F"/>
    <w:rsid w:val="00126ED4"/>
    <w:rsid w:val="0013032A"/>
    <w:rsid w:val="00132CDE"/>
    <w:rsid w:val="0014714B"/>
    <w:rsid w:val="00175107"/>
    <w:rsid w:val="001756A5"/>
    <w:rsid w:val="001836AD"/>
    <w:rsid w:val="001864D9"/>
    <w:rsid w:val="001943A6"/>
    <w:rsid w:val="00197A26"/>
    <w:rsid w:val="001A2770"/>
    <w:rsid w:val="001A48ED"/>
    <w:rsid w:val="001A50D3"/>
    <w:rsid w:val="001A5542"/>
    <w:rsid w:val="001A6864"/>
    <w:rsid w:val="001A7D19"/>
    <w:rsid w:val="001C418E"/>
    <w:rsid w:val="001C72A0"/>
    <w:rsid w:val="001D3A96"/>
    <w:rsid w:val="001E1652"/>
    <w:rsid w:val="001E4160"/>
    <w:rsid w:val="001E6BC6"/>
    <w:rsid w:val="001F1787"/>
    <w:rsid w:val="00207447"/>
    <w:rsid w:val="00216E2B"/>
    <w:rsid w:val="002244F1"/>
    <w:rsid w:val="002249C0"/>
    <w:rsid w:val="002318F2"/>
    <w:rsid w:val="0023682A"/>
    <w:rsid w:val="0024016B"/>
    <w:rsid w:val="002451C5"/>
    <w:rsid w:val="002476AE"/>
    <w:rsid w:val="002525D9"/>
    <w:rsid w:val="00263FFA"/>
    <w:rsid w:val="00267309"/>
    <w:rsid w:val="002809D9"/>
    <w:rsid w:val="00281DBB"/>
    <w:rsid w:val="00283CD4"/>
    <w:rsid w:val="00283DE2"/>
    <w:rsid w:val="00285A62"/>
    <w:rsid w:val="002A4001"/>
    <w:rsid w:val="002A5EAE"/>
    <w:rsid w:val="002B4F10"/>
    <w:rsid w:val="002C11FE"/>
    <w:rsid w:val="002C2C98"/>
    <w:rsid w:val="002D04BC"/>
    <w:rsid w:val="002E31D0"/>
    <w:rsid w:val="002F7D5B"/>
    <w:rsid w:val="00301733"/>
    <w:rsid w:val="003152B0"/>
    <w:rsid w:val="00317FA7"/>
    <w:rsid w:val="00323840"/>
    <w:rsid w:val="003245A5"/>
    <w:rsid w:val="00330CFC"/>
    <w:rsid w:val="0033188A"/>
    <w:rsid w:val="00337EED"/>
    <w:rsid w:val="0034058E"/>
    <w:rsid w:val="00361140"/>
    <w:rsid w:val="003707D6"/>
    <w:rsid w:val="00373505"/>
    <w:rsid w:val="003829BB"/>
    <w:rsid w:val="00382D86"/>
    <w:rsid w:val="003A24A5"/>
    <w:rsid w:val="003B53CB"/>
    <w:rsid w:val="003B720A"/>
    <w:rsid w:val="003C3F39"/>
    <w:rsid w:val="003C3FDC"/>
    <w:rsid w:val="003C66DB"/>
    <w:rsid w:val="003D0EF3"/>
    <w:rsid w:val="003D64A4"/>
    <w:rsid w:val="003E172C"/>
    <w:rsid w:val="003E52C6"/>
    <w:rsid w:val="003E60B9"/>
    <w:rsid w:val="003E6FC4"/>
    <w:rsid w:val="003F4043"/>
    <w:rsid w:val="0040347A"/>
    <w:rsid w:val="0040411C"/>
    <w:rsid w:val="004115E0"/>
    <w:rsid w:val="00412EDE"/>
    <w:rsid w:val="0041745F"/>
    <w:rsid w:val="0042425A"/>
    <w:rsid w:val="00440680"/>
    <w:rsid w:val="00443AE9"/>
    <w:rsid w:val="00460196"/>
    <w:rsid w:val="00464E50"/>
    <w:rsid w:val="00467568"/>
    <w:rsid w:val="004905B6"/>
    <w:rsid w:val="00493629"/>
    <w:rsid w:val="004959ED"/>
    <w:rsid w:val="00496C59"/>
    <w:rsid w:val="004A2B77"/>
    <w:rsid w:val="004A7F8B"/>
    <w:rsid w:val="004B2A04"/>
    <w:rsid w:val="004B68C9"/>
    <w:rsid w:val="004C2FCD"/>
    <w:rsid w:val="004E1BEB"/>
    <w:rsid w:val="004F7053"/>
    <w:rsid w:val="00511C1B"/>
    <w:rsid w:val="0051414D"/>
    <w:rsid w:val="005144E4"/>
    <w:rsid w:val="00514E81"/>
    <w:rsid w:val="00532C3D"/>
    <w:rsid w:val="00543B47"/>
    <w:rsid w:val="00550027"/>
    <w:rsid w:val="00554689"/>
    <w:rsid w:val="00555E27"/>
    <w:rsid w:val="00560616"/>
    <w:rsid w:val="00564C03"/>
    <w:rsid w:val="005666C9"/>
    <w:rsid w:val="00567589"/>
    <w:rsid w:val="0057165F"/>
    <w:rsid w:val="00576233"/>
    <w:rsid w:val="0058678F"/>
    <w:rsid w:val="0058719F"/>
    <w:rsid w:val="00587D57"/>
    <w:rsid w:val="005A4513"/>
    <w:rsid w:val="005A45A7"/>
    <w:rsid w:val="005A4FD2"/>
    <w:rsid w:val="005A73A8"/>
    <w:rsid w:val="005A76B7"/>
    <w:rsid w:val="005B5673"/>
    <w:rsid w:val="005B6744"/>
    <w:rsid w:val="005B760A"/>
    <w:rsid w:val="005B7948"/>
    <w:rsid w:val="005C42A2"/>
    <w:rsid w:val="005D105C"/>
    <w:rsid w:val="005D22D6"/>
    <w:rsid w:val="005D4513"/>
    <w:rsid w:val="005E127D"/>
    <w:rsid w:val="00601F65"/>
    <w:rsid w:val="006114EC"/>
    <w:rsid w:val="00624850"/>
    <w:rsid w:val="00625C53"/>
    <w:rsid w:val="00650FF4"/>
    <w:rsid w:val="00651205"/>
    <w:rsid w:val="00656220"/>
    <w:rsid w:val="00656CB7"/>
    <w:rsid w:val="006633BA"/>
    <w:rsid w:val="00664141"/>
    <w:rsid w:val="00664FF1"/>
    <w:rsid w:val="006664AB"/>
    <w:rsid w:val="006664D9"/>
    <w:rsid w:val="006725C7"/>
    <w:rsid w:val="00673836"/>
    <w:rsid w:val="00680670"/>
    <w:rsid w:val="006A3045"/>
    <w:rsid w:val="006B24FF"/>
    <w:rsid w:val="006B5B2C"/>
    <w:rsid w:val="006B7A95"/>
    <w:rsid w:val="006C5A60"/>
    <w:rsid w:val="006C770F"/>
    <w:rsid w:val="006C7EC1"/>
    <w:rsid w:val="006D46DF"/>
    <w:rsid w:val="006D6E19"/>
    <w:rsid w:val="006E14CC"/>
    <w:rsid w:val="006E5A88"/>
    <w:rsid w:val="006F38A2"/>
    <w:rsid w:val="006F5A7F"/>
    <w:rsid w:val="006F79D4"/>
    <w:rsid w:val="007138C0"/>
    <w:rsid w:val="00717586"/>
    <w:rsid w:val="00720DE7"/>
    <w:rsid w:val="007459F4"/>
    <w:rsid w:val="0074685E"/>
    <w:rsid w:val="007477CB"/>
    <w:rsid w:val="0075651E"/>
    <w:rsid w:val="0077291E"/>
    <w:rsid w:val="00777150"/>
    <w:rsid w:val="00783E8F"/>
    <w:rsid w:val="00784BC1"/>
    <w:rsid w:val="00793066"/>
    <w:rsid w:val="00794927"/>
    <w:rsid w:val="00794BDD"/>
    <w:rsid w:val="0079738C"/>
    <w:rsid w:val="007A06AF"/>
    <w:rsid w:val="007A15E1"/>
    <w:rsid w:val="007A1EC3"/>
    <w:rsid w:val="007A21AE"/>
    <w:rsid w:val="007A43B6"/>
    <w:rsid w:val="007A4CD8"/>
    <w:rsid w:val="007A75A8"/>
    <w:rsid w:val="007B38C1"/>
    <w:rsid w:val="007B65EF"/>
    <w:rsid w:val="007C12F6"/>
    <w:rsid w:val="007C2B91"/>
    <w:rsid w:val="007E111C"/>
    <w:rsid w:val="007F14DC"/>
    <w:rsid w:val="007F264E"/>
    <w:rsid w:val="00801878"/>
    <w:rsid w:val="00802ADE"/>
    <w:rsid w:val="00806E13"/>
    <w:rsid w:val="008161D0"/>
    <w:rsid w:val="00817D22"/>
    <w:rsid w:val="00817E30"/>
    <w:rsid w:val="00825163"/>
    <w:rsid w:val="00853AC7"/>
    <w:rsid w:val="00863414"/>
    <w:rsid w:val="008648EE"/>
    <w:rsid w:val="008651DF"/>
    <w:rsid w:val="008741A3"/>
    <w:rsid w:val="008765DE"/>
    <w:rsid w:val="00880640"/>
    <w:rsid w:val="00881042"/>
    <w:rsid w:val="00891457"/>
    <w:rsid w:val="008948AE"/>
    <w:rsid w:val="008977FA"/>
    <w:rsid w:val="008A7C82"/>
    <w:rsid w:val="008C35B9"/>
    <w:rsid w:val="008C5176"/>
    <w:rsid w:val="008C78BF"/>
    <w:rsid w:val="008E1897"/>
    <w:rsid w:val="008E48ED"/>
    <w:rsid w:val="008E4925"/>
    <w:rsid w:val="008F50E3"/>
    <w:rsid w:val="009245FB"/>
    <w:rsid w:val="00927A26"/>
    <w:rsid w:val="00937ABE"/>
    <w:rsid w:val="0094118B"/>
    <w:rsid w:val="0094135A"/>
    <w:rsid w:val="00955E05"/>
    <w:rsid w:val="0095706F"/>
    <w:rsid w:val="0096078E"/>
    <w:rsid w:val="00972260"/>
    <w:rsid w:val="009864D5"/>
    <w:rsid w:val="00990345"/>
    <w:rsid w:val="009965C5"/>
    <w:rsid w:val="009A1B87"/>
    <w:rsid w:val="009A1EB1"/>
    <w:rsid w:val="009B2228"/>
    <w:rsid w:val="009B3989"/>
    <w:rsid w:val="009B4689"/>
    <w:rsid w:val="009C5138"/>
    <w:rsid w:val="009D2F25"/>
    <w:rsid w:val="009D62A2"/>
    <w:rsid w:val="009E55A8"/>
    <w:rsid w:val="009F09AD"/>
    <w:rsid w:val="009F6C71"/>
    <w:rsid w:val="00A02234"/>
    <w:rsid w:val="00A07D2F"/>
    <w:rsid w:val="00A1242A"/>
    <w:rsid w:val="00A163ED"/>
    <w:rsid w:val="00A24440"/>
    <w:rsid w:val="00A24ACE"/>
    <w:rsid w:val="00A267F4"/>
    <w:rsid w:val="00A26E48"/>
    <w:rsid w:val="00A26FA4"/>
    <w:rsid w:val="00A3094C"/>
    <w:rsid w:val="00A33952"/>
    <w:rsid w:val="00A3650F"/>
    <w:rsid w:val="00A51932"/>
    <w:rsid w:val="00A672BB"/>
    <w:rsid w:val="00A7281E"/>
    <w:rsid w:val="00A72AC6"/>
    <w:rsid w:val="00A72E47"/>
    <w:rsid w:val="00A8395A"/>
    <w:rsid w:val="00A84B99"/>
    <w:rsid w:val="00A872E4"/>
    <w:rsid w:val="00AA05D9"/>
    <w:rsid w:val="00AA3BF3"/>
    <w:rsid w:val="00AA563B"/>
    <w:rsid w:val="00AA7B6B"/>
    <w:rsid w:val="00AC22D0"/>
    <w:rsid w:val="00AC6E91"/>
    <w:rsid w:val="00AD0DFF"/>
    <w:rsid w:val="00AD4558"/>
    <w:rsid w:val="00AE4612"/>
    <w:rsid w:val="00AF13BA"/>
    <w:rsid w:val="00AF3DDA"/>
    <w:rsid w:val="00B210FA"/>
    <w:rsid w:val="00B231C8"/>
    <w:rsid w:val="00B247E9"/>
    <w:rsid w:val="00B40F75"/>
    <w:rsid w:val="00B45548"/>
    <w:rsid w:val="00B46AE3"/>
    <w:rsid w:val="00B804CE"/>
    <w:rsid w:val="00B82FEC"/>
    <w:rsid w:val="00B86CA9"/>
    <w:rsid w:val="00B94D60"/>
    <w:rsid w:val="00B95538"/>
    <w:rsid w:val="00BA2945"/>
    <w:rsid w:val="00BB4ECF"/>
    <w:rsid w:val="00BC0FA6"/>
    <w:rsid w:val="00BC6A47"/>
    <w:rsid w:val="00BD0BC0"/>
    <w:rsid w:val="00BD16BA"/>
    <w:rsid w:val="00BD6262"/>
    <w:rsid w:val="00BE1428"/>
    <w:rsid w:val="00BE4E68"/>
    <w:rsid w:val="00BE55C9"/>
    <w:rsid w:val="00BF4B65"/>
    <w:rsid w:val="00BF773F"/>
    <w:rsid w:val="00C1049D"/>
    <w:rsid w:val="00C10731"/>
    <w:rsid w:val="00C14231"/>
    <w:rsid w:val="00C154BB"/>
    <w:rsid w:val="00C16BB9"/>
    <w:rsid w:val="00C24B45"/>
    <w:rsid w:val="00C25AFC"/>
    <w:rsid w:val="00C26C79"/>
    <w:rsid w:val="00C33058"/>
    <w:rsid w:val="00C62CBB"/>
    <w:rsid w:val="00C645B8"/>
    <w:rsid w:val="00C645F0"/>
    <w:rsid w:val="00C737DB"/>
    <w:rsid w:val="00C75161"/>
    <w:rsid w:val="00C754C4"/>
    <w:rsid w:val="00C77CC8"/>
    <w:rsid w:val="00C80AA6"/>
    <w:rsid w:val="00C81E41"/>
    <w:rsid w:val="00C97639"/>
    <w:rsid w:val="00CA62F7"/>
    <w:rsid w:val="00CA7BAF"/>
    <w:rsid w:val="00CC2DE2"/>
    <w:rsid w:val="00CD38E8"/>
    <w:rsid w:val="00CE27F6"/>
    <w:rsid w:val="00CE3B5D"/>
    <w:rsid w:val="00CE4845"/>
    <w:rsid w:val="00CF179A"/>
    <w:rsid w:val="00CF3363"/>
    <w:rsid w:val="00CF35A2"/>
    <w:rsid w:val="00D00320"/>
    <w:rsid w:val="00D07FF3"/>
    <w:rsid w:val="00D15CEA"/>
    <w:rsid w:val="00D168FF"/>
    <w:rsid w:val="00D24351"/>
    <w:rsid w:val="00D273EA"/>
    <w:rsid w:val="00D33739"/>
    <w:rsid w:val="00D46963"/>
    <w:rsid w:val="00D7512A"/>
    <w:rsid w:val="00D77587"/>
    <w:rsid w:val="00D830E5"/>
    <w:rsid w:val="00D83822"/>
    <w:rsid w:val="00D937A7"/>
    <w:rsid w:val="00DA2A80"/>
    <w:rsid w:val="00DA632D"/>
    <w:rsid w:val="00DB00CD"/>
    <w:rsid w:val="00DB4C93"/>
    <w:rsid w:val="00DC466F"/>
    <w:rsid w:val="00DC6D18"/>
    <w:rsid w:val="00DD082A"/>
    <w:rsid w:val="00DD285C"/>
    <w:rsid w:val="00DE6F22"/>
    <w:rsid w:val="00DF2444"/>
    <w:rsid w:val="00DF3081"/>
    <w:rsid w:val="00DF3294"/>
    <w:rsid w:val="00DF6A56"/>
    <w:rsid w:val="00DF74DA"/>
    <w:rsid w:val="00E06DE4"/>
    <w:rsid w:val="00E10B22"/>
    <w:rsid w:val="00E205BE"/>
    <w:rsid w:val="00E347A1"/>
    <w:rsid w:val="00E467BC"/>
    <w:rsid w:val="00E559B0"/>
    <w:rsid w:val="00E61246"/>
    <w:rsid w:val="00E6630C"/>
    <w:rsid w:val="00E71055"/>
    <w:rsid w:val="00E719BA"/>
    <w:rsid w:val="00E8067E"/>
    <w:rsid w:val="00E81AE8"/>
    <w:rsid w:val="00E82E42"/>
    <w:rsid w:val="00E857A1"/>
    <w:rsid w:val="00E9237C"/>
    <w:rsid w:val="00EA6DD7"/>
    <w:rsid w:val="00EB3AC3"/>
    <w:rsid w:val="00EB4B87"/>
    <w:rsid w:val="00EB7BB7"/>
    <w:rsid w:val="00EC2664"/>
    <w:rsid w:val="00ED06F2"/>
    <w:rsid w:val="00ED31F0"/>
    <w:rsid w:val="00EE3CAC"/>
    <w:rsid w:val="00EE6CDD"/>
    <w:rsid w:val="00F00E14"/>
    <w:rsid w:val="00F0226B"/>
    <w:rsid w:val="00F0296B"/>
    <w:rsid w:val="00F04086"/>
    <w:rsid w:val="00F06BCB"/>
    <w:rsid w:val="00F100B4"/>
    <w:rsid w:val="00F17BDA"/>
    <w:rsid w:val="00F31A5E"/>
    <w:rsid w:val="00F43020"/>
    <w:rsid w:val="00F526D5"/>
    <w:rsid w:val="00F552DB"/>
    <w:rsid w:val="00F72F38"/>
    <w:rsid w:val="00F7763A"/>
    <w:rsid w:val="00F91F5C"/>
    <w:rsid w:val="00FA78AF"/>
    <w:rsid w:val="00FB484C"/>
    <w:rsid w:val="00FC0445"/>
    <w:rsid w:val="00FD4541"/>
    <w:rsid w:val="00FD6B78"/>
    <w:rsid w:val="00FD77A4"/>
    <w:rsid w:val="00FD7879"/>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8A1E4"/>
  <w15:chartTrackingRefBased/>
  <w15:docId w15:val="{A7C00CF9-5785-4764-8485-C16E652A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5A45A7"/>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5A45A7"/>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2476AE"/>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0"/>
      <w:szCs w:val="44"/>
    </w:rPr>
  </w:style>
  <w:style w:type="character" w:customStyle="1" w:styleId="TitleChar">
    <w:name w:val="Title Char"/>
    <w:basedOn w:val="DefaultParagraphFont"/>
    <w:link w:val="Title"/>
    <w:rsid w:val="002476AE"/>
    <w:rPr>
      <w:rFonts w:ascii="Kozuka Gothic Pro EL" w:eastAsiaTheme="majorEastAsia" w:hAnsi="Kozuka Gothic Pro EL" w:cstheme="majorBidi"/>
      <w:color w:val="365F91" w:themeColor="accent1" w:themeShade="BF"/>
      <w:spacing w:val="5"/>
      <w:kern w:val="28"/>
      <w:sz w:val="40"/>
      <w:szCs w:val="44"/>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D0760"/>
    <w:rPr>
      <w:rFonts w:ascii="Open Sans Extrabold" w:eastAsiaTheme="minorHAnsi" w:hAnsi="Open Sans Extrabold"/>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character" w:styleId="UnresolvedMention">
    <w:name w:val="Unresolved Mention"/>
    <w:basedOn w:val="DefaultParagraphFont"/>
    <w:uiPriority w:val="99"/>
    <w:semiHidden/>
    <w:unhideWhenUsed/>
    <w:rsid w:val="004B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518356416">
      <w:bodyDiv w:val="1"/>
      <w:marLeft w:val="0"/>
      <w:marRight w:val="0"/>
      <w:marTop w:val="0"/>
      <w:marBottom w:val="0"/>
      <w:divBdr>
        <w:top w:val="none" w:sz="0" w:space="0" w:color="auto"/>
        <w:left w:val="none" w:sz="0" w:space="0" w:color="auto"/>
        <w:bottom w:val="none" w:sz="0" w:space="0" w:color="auto"/>
        <w:right w:val="none" w:sz="0" w:space="0" w:color="auto"/>
      </w:divBdr>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qi.org.uk/resources/ual-outrea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WordTemplate28.dotx</Template>
  <TotalTime>1</TotalTime>
  <Pages>5</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Laptop</cp:lastModifiedBy>
  <cp:revision>3</cp:revision>
  <cp:lastPrinted>2021-01-04T14:00:00Z</cp:lastPrinted>
  <dcterms:created xsi:type="dcterms:W3CDTF">2022-12-05T15:06:00Z</dcterms:created>
  <dcterms:modified xsi:type="dcterms:W3CDTF">2022-12-05T15:15:00Z</dcterms:modified>
</cp:coreProperties>
</file>