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751B" w14:textId="659D5F38" w:rsidR="008F4428" w:rsidRPr="008F4428" w:rsidRDefault="008F4428" w:rsidP="008F4428">
      <w:pPr>
        <w:pStyle w:val="Title"/>
        <w:rPr>
          <w:lang w:eastAsia="en-GB"/>
        </w:rPr>
      </w:pPr>
      <w:r w:rsidRPr="008F4428">
        <w:rPr>
          <w:lang w:eastAsia="en-GB"/>
        </w:rPr>
        <w:t>3 Teaching, learning and assessment</w:t>
      </w:r>
    </w:p>
    <w:p w14:paraId="5409C024" w14:textId="58E9593C" w:rsidR="008F4428" w:rsidRPr="008F4428" w:rsidRDefault="008F4428" w:rsidP="0010414B">
      <w:pPr>
        <w:pStyle w:val="Red"/>
      </w:pPr>
      <w:r w:rsidRPr="008F4428">
        <w:t>Version 0</w:t>
      </w:r>
      <w:r w:rsidR="004D2C79">
        <w:t>5</w:t>
      </w:r>
      <w:r w:rsidRPr="008F4428">
        <w:t xml:space="preserve"> </w:t>
      </w:r>
      <w:r w:rsidR="004D2C79">
        <w:t>04</w:t>
      </w:r>
      <w:r w:rsidRPr="008F4428">
        <w:t>/</w:t>
      </w:r>
      <w:r w:rsidR="004D2C79">
        <w:t>09</w:t>
      </w:r>
      <w:r w:rsidRPr="008F4428">
        <w:t>/22</w:t>
      </w:r>
      <w:r w:rsidR="00AB4F05" w:rsidRPr="00AB4F05">
        <w:drawing>
          <wp:inline distT="0" distB="0" distL="0" distR="0" wp14:anchorId="0B1126A5" wp14:editId="2DEC0741">
            <wp:extent cx="9071610" cy="4999355"/>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8"/>
                    <a:stretch>
                      <a:fillRect/>
                    </a:stretch>
                  </pic:blipFill>
                  <pic:spPr>
                    <a:xfrm>
                      <a:off x="0" y="0"/>
                      <a:ext cx="9071610" cy="4999355"/>
                    </a:xfrm>
                    <a:prstGeom prst="rect">
                      <a:avLst/>
                    </a:prstGeom>
                  </pic:spPr>
                </pic:pic>
              </a:graphicData>
            </a:graphic>
          </wp:inline>
        </w:drawing>
      </w:r>
    </w:p>
    <w:tbl>
      <w:tblPr>
        <w:tblStyle w:val="TableGrid1"/>
        <w:tblW w:w="14885" w:type="dxa"/>
        <w:tblInd w:w="-426" w:type="dxa"/>
        <w:tblLook w:val="04A0" w:firstRow="1" w:lastRow="0" w:firstColumn="1" w:lastColumn="0" w:noHBand="0" w:noVBand="1"/>
      </w:tblPr>
      <w:tblGrid>
        <w:gridCol w:w="321"/>
        <w:gridCol w:w="1338"/>
        <w:gridCol w:w="2453"/>
        <w:gridCol w:w="2935"/>
        <w:gridCol w:w="7838"/>
      </w:tblGrid>
      <w:tr w:rsidR="003B6957" w:rsidRPr="008F4428" w14:paraId="6BD08DCA" w14:textId="77777777" w:rsidTr="009863DD">
        <w:trPr>
          <w:trHeight w:val="465"/>
        </w:trPr>
        <w:tc>
          <w:tcPr>
            <w:tcW w:w="321" w:type="dxa"/>
            <w:tcBorders>
              <w:top w:val="nil"/>
              <w:left w:val="nil"/>
            </w:tcBorders>
            <w:shd w:val="clear" w:color="auto" w:fill="FFFFFF" w:themeFill="background1"/>
            <w:vAlign w:val="center"/>
          </w:tcPr>
          <w:p w14:paraId="16EA7256" w14:textId="4F3C95CD" w:rsidR="008F4428" w:rsidRPr="008F4428" w:rsidRDefault="008F4428" w:rsidP="008F4428">
            <w:pPr>
              <w:spacing w:before="40" w:after="60"/>
              <w:rPr>
                <w:rFonts w:ascii="Open Sans" w:hAnsi="Open Sans" w:cs="Times New Roman"/>
                <w:b/>
                <w:color w:val="FFFFFF" w:themeColor="background1"/>
                <w:sz w:val="20"/>
                <w:szCs w:val="24"/>
              </w:rPr>
            </w:pPr>
          </w:p>
        </w:tc>
        <w:tc>
          <w:tcPr>
            <w:tcW w:w="1338" w:type="dxa"/>
            <w:shd w:val="clear" w:color="auto" w:fill="C6D9F1" w:themeFill="text2" w:themeFillTint="33"/>
            <w:vAlign w:val="center"/>
          </w:tcPr>
          <w:p w14:paraId="3B31061D" w14:textId="77777777" w:rsidR="008F4428" w:rsidRPr="008F4428" w:rsidRDefault="008F4428" w:rsidP="008F4428">
            <w:pPr>
              <w:spacing w:before="40" w:after="60"/>
              <w:jc w:val="center"/>
              <w:rPr>
                <w:rFonts w:ascii="Arial" w:hAnsi="Arial" w:cs="Arial"/>
                <w:b/>
                <w:color w:val="0070C0"/>
                <w:sz w:val="24"/>
                <w:szCs w:val="32"/>
              </w:rPr>
            </w:pPr>
            <w:r w:rsidRPr="008F4428">
              <w:rPr>
                <w:rFonts w:ascii="Arial" w:hAnsi="Arial" w:cs="Arial"/>
                <w:b/>
                <w:color w:val="0070C0"/>
                <w:sz w:val="24"/>
                <w:szCs w:val="32"/>
              </w:rPr>
              <w:t>Area</w:t>
            </w:r>
          </w:p>
        </w:tc>
        <w:tc>
          <w:tcPr>
            <w:tcW w:w="5388" w:type="dxa"/>
            <w:gridSpan w:val="2"/>
            <w:tcBorders>
              <w:right w:val="single" w:sz="4" w:space="0" w:color="auto"/>
            </w:tcBorders>
            <w:shd w:val="clear" w:color="auto" w:fill="FBD4B4" w:themeFill="accent6" w:themeFillTint="66"/>
            <w:vAlign w:val="center"/>
          </w:tcPr>
          <w:p w14:paraId="62C45B34" w14:textId="03FD64C5" w:rsidR="008F4428" w:rsidRPr="008F4428" w:rsidRDefault="008F4428" w:rsidP="008F4428">
            <w:pPr>
              <w:keepNext/>
              <w:outlineLvl w:val="0"/>
              <w:rPr>
                <w:rFonts w:ascii="Arial" w:hAnsi="Arial" w:cs="Arial"/>
                <w:b/>
                <w:color w:val="0070C0"/>
                <w:sz w:val="24"/>
                <w:szCs w:val="32"/>
              </w:rPr>
            </w:pPr>
            <w:r>
              <w:rPr>
                <w:rFonts w:ascii="Arial" w:hAnsi="Arial" w:cs="Arial"/>
                <w:b/>
                <w:color w:val="0070C0"/>
                <w:sz w:val="24"/>
                <w:szCs w:val="32"/>
              </w:rPr>
              <w:t>3 Teaching, learning and assessment</w:t>
            </w:r>
          </w:p>
        </w:tc>
        <w:tc>
          <w:tcPr>
            <w:tcW w:w="7838" w:type="dxa"/>
            <w:tcBorders>
              <w:top w:val="nil"/>
              <w:left w:val="single" w:sz="4" w:space="0" w:color="auto"/>
              <w:bottom w:val="single" w:sz="4" w:space="0" w:color="auto"/>
              <w:right w:val="nil"/>
            </w:tcBorders>
            <w:shd w:val="clear" w:color="auto" w:fill="FFFFFF" w:themeFill="background1"/>
            <w:vAlign w:val="center"/>
          </w:tcPr>
          <w:p w14:paraId="21EBBD79" w14:textId="77777777" w:rsidR="008F4428" w:rsidRPr="008F4428" w:rsidRDefault="008F4428" w:rsidP="008F4428">
            <w:pPr>
              <w:spacing w:before="40" w:after="60"/>
              <w:rPr>
                <w:rFonts w:ascii="Arial" w:hAnsi="Arial" w:cs="Arial"/>
                <w:b/>
                <w:color w:val="E36C0A" w:themeColor="accent6" w:themeShade="BF"/>
                <w:sz w:val="20"/>
                <w:szCs w:val="24"/>
              </w:rPr>
            </w:pPr>
          </w:p>
        </w:tc>
      </w:tr>
      <w:tr w:rsidR="008F4428" w:rsidRPr="008F4428" w14:paraId="32DD10DB" w14:textId="77777777" w:rsidTr="009863DD">
        <w:trPr>
          <w:trHeight w:val="465"/>
        </w:trPr>
        <w:tc>
          <w:tcPr>
            <w:tcW w:w="1659" w:type="dxa"/>
            <w:gridSpan w:val="2"/>
            <w:shd w:val="clear" w:color="auto" w:fill="0070C0"/>
            <w:vAlign w:val="center"/>
          </w:tcPr>
          <w:p w14:paraId="3ADC7F7C" w14:textId="77777777" w:rsidR="008F4428" w:rsidRPr="008F4428" w:rsidRDefault="008F4428" w:rsidP="008F4428">
            <w:pPr>
              <w:spacing w:before="40" w:after="60"/>
              <w:rPr>
                <w:rFonts w:ascii="Arial" w:hAnsi="Arial" w:cs="Arial"/>
                <w:b/>
                <w:color w:val="FFFFFF" w:themeColor="background1"/>
                <w:sz w:val="20"/>
                <w:szCs w:val="24"/>
              </w:rPr>
            </w:pPr>
            <w:r w:rsidRPr="008F4428">
              <w:rPr>
                <w:rFonts w:ascii="Arial" w:hAnsi="Arial" w:cs="Arial"/>
                <w:b/>
                <w:color w:val="FFFFFF" w:themeColor="background1"/>
                <w:sz w:val="20"/>
                <w:szCs w:val="24"/>
              </w:rPr>
              <w:t>Aspect</w:t>
            </w:r>
          </w:p>
        </w:tc>
        <w:tc>
          <w:tcPr>
            <w:tcW w:w="2453" w:type="dxa"/>
            <w:shd w:val="clear" w:color="auto" w:fill="0070C0"/>
            <w:vAlign w:val="center"/>
          </w:tcPr>
          <w:p w14:paraId="381390B0" w14:textId="77777777" w:rsidR="008F4428" w:rsidRPr="008F4428" w:rsidRDefault="008F4428" w:rsidP="008F4428">
            <w:pPr>
              <w:spacing w:before="40" w:after="60"/>
              <w:rPr>
                <w:rFonts w:ascii="Arial" w:hAnsi="Arial" w:cs="Arial"/>
                <w:b/>
                <w:color w:val="FFFFFF" w:themeColor="background1"/>
                <w:sz w:val="20"/>
                <w:szCs w:val="24"/>
              </w:rPr>
            </w:pPr>
            <w:r w:rsidRPr="008F4428">
              <w:rPr>
                <w:rFonts w:ascii="Arial" w:hAnsi="Arial" w:cs="Arial"/>
                <w:b/>
                <w:color w:val="FFFFFF" w:themeColor="background1"/>
                <w:sz w:val="20"/>
                <w:szCs w:val="24"/>
              </w:rPr>
              <w:t>Elements</w:t>
            </w:r>
          </w:p>
        </w:tc>
        <w:tc>
          <w:tcPr>
            <w:tcW w:w="10773" w:type="dxa"/>
            <w:gridSpan w:val="2"/>
            <w:tcBorders>
              <w:top w:val="single" w:sz="4" w:space="0" w:color="auto"/>
            </w:tcBorders>
            <w:shd w:val="clear" w:color="auto" w:fill="0070C0"/>
            <w:vAlign w:val="center"/>
          </w:tcPr>
          <w:p w14:paraId="61A28534" w14:textId="77777777" w:rsidR="008F4428" w:rsidRPr="008F4428" w:rsidRDefault="008F4428" w:rsidP="008F4428">
            <w:pPr>
              <w:spacing w:before="40" w:after="60"/>
              <w:rPr>
                <w:rFonts w:ascii="Arial" w:hAnsi="Arial" w:cs="Arial"/>
                <w:b/>
                <w:color w:val="FFFFFF" w:themeColor="background1"/>
                <w:sz w:val="20"/>
                <w:szCs w:val="24"/>
              </w:rPr>
            </w:pPr>
            <w:r w:rsidRPr="008F4428">
              <w:rPr>
                <w:rFonts w:ascii="Arial" w:hAnsi="Arial" w:cs="Arial"/>
                <w:b/>
                <w:color w:val="FFFFFF" w:themeColor="background1"/>
                <w:sz w:val="20"/>
                <w:szCs w:val="24"/>
              </w:rPr>
              <w:t xml:space="preserve">Gold Standard </w:t>
            </w:r>
            <w:r w:rsidRPr="008F4428">
              <w:rPr>
                <w:rFonts w:ascii="Arial" w:hAnsi="Arial" w:cs="Arial"/>
                <w:b/>
                <w:color w:val="FBD4B4" w:themeColor="accent6" w:themeTint="66"/>
                <w:sz w:val="20"/>
                <w:szCs w:val="24"/>
              </w:rPr>
              <w:t>intended impact</w:t>
            </w:r>
            <w:r w:rsidRPr="008F4428">
              <w:rPr>
                <w:rFonts w:ascii="Arial" w:hAnsi="Arial" w:cs="Arial"/>
                <w:b/>
                <w:color w:val="FFFFFF" w:themeColor="background1"/>
                <w:sz w:val="20"/>
                <w:szCs w:val="24"/>
              </w:rPr>
              <w:t xml:space="preserve">: </w:t>
            </w:r>
          </w:p>
        </w:tc>
      </w:tr>
      <w:tr w:rsidR="00571041" w:rsidRPr="008F4428" w14:paraId="09E7B4F2" w14:textId="77777777" w:rsidTr="009863DD">
        <w:trPr>
          <w:trHeight w:val="326"/>
        </w:trPr>
        <w:tc>
          <w:tcPr>
            <w:tcW w:w="1659" w:type="dxa"/>
            <w:gridSpan w:val="2"/>
            <w:vMerge w:val="restart"/>
            <w:shd w:val="clear" w:color="auto" w:fill="DBE5F1" w:themeFill="accent1" w:themeFillTint="33"/>
          </w:tcPr>
          <w:p w14:paraId="1B374F5D" w14:textId="77777777" w:rsidR="00571041" w:rsidRDefault="00571041" w:rsidP="008F4428">
            <w:pPr>
              <w:pStyle w:val="Black"/>
            </w:pPr>
            <w:r>
              <w:t>3.1</w:t>
            </w:r>
          </w:p>
          <w:p w14:paraId="65DC69CA" w14:textId="51ED648D" w:rsidR="00571041" w:rsidRPr="008F4428" w:rsidRDefault="00571041" w:rsidP="008F4428">
            <w:pPr>
              <w:pStyle w:val="Black"/>
            </w:pPr>
            <w:r w:rsidRPr="008F4428">
              <w:t>Independence</w:t>
            </w:r>
          </w:p>
        </w:tc>
        <w:tc>
          <w:tcPr>
            <w:tcW w:w="2453" w:type="dxa"/>
            <w:shd w:val="clear" w:color="auto" w:fill="F2F2F2" w:themeFill="background1" w:themeFillShade="F2"/>
          </w:tcPr>
          <w:p w14:paraId="6B1E4D69" w14:textId="77777777" w:rsidR="00571041" w:rsidRDefault="00571041" w:rsidP="008F4428">
            <w:pPr>
              <w:pStyle w:val="Black"/>
            </w:pPr>
            <w:r>
              <w:t>3.1.1</w:t>
            </w:r>
          </w:p>
          <w:p w14:paraId="53D3481E" w14:textId="435D6C68" w:rsidR="00571041" w:rsidRPr="008F4428" w:rsidRDefault="00571041" w:rsidP="008F4428">
            <w:pPr>
              <w:pStyle w:val="Black"/>
            </w:pPr>
            <w:r>
              <w:t>A</w:t>
            </w:r>
            <w:r w:rsidRPr="008F4428">
              <w:t>utonomy</w:t>
            </w:r>
          </w:p>
        </w:tc>
        <w:tc>
          <w:tcPr>
            <w:tcW w:w="10773" w:type="dxa"/>
            <w:gridSpan w:val="2"/>
            <w:shd w:val="clear" w:color="auto" w:fill="F2F2F2" w:themeFill="background1" w:themeFillShade="F2"/>
          </w:tcPr>
          <w:p w14:paraId="6B8289A7" w14:textId="4DF0756F" w:rsidR="00571041" w:rsidRPr="008F4428" w:rsidRDefault="00571041" w:rsidP="00E61E5D">
            <w:pPr>
              <w:pStyle w:val="Black"/>
            </w:pPr>
            <w:r w:rsidRPr="008F4428">
              <w:t>Learners are confident when learning independently. The design of the curriculum</w:t>
            </w:r>
            <w:r>
              <w:t xml:space="preserve">, access to varied resources </w:t>
            </w:r>
            <w:r w:rsidRPr="008F4428">
              <w:t>and the approach of staff engage</w:t>
            </w:r>
            <w:r>
              <w:t>s</w:t>
            </w:r>
            <w:r w:rsidRPr="008F4428">
              <w:t xml:space="preserve"> </w:t>
            </w:r>
            <w:r w:rsidR="0022393E" w:rsidRPr="008F4428">
              <w:t xml:space="preserve">learners </w:t>
            </w:r>
            <w:r w:rsidRPr="008F4428">
              <w:t>and stimulate</w:t>
            </w:r>
            <w:r>
              <w:t>s</w:t>
            </w:r>
            <w:r w:rsidR="0022393E">
              <w:t xml:space="preserve"> their curiosity. Learners then</w:t>
            </w:r>
            <w:r w:rsidRPr="008F4428">
              <w:t xml:space="preserve"> make their own discoveries in and between lessons, which deepens </w:t>
            </w:r>
            <w:r w:rsidR="0022393E">
              <w:t xml:space="preserve">their </w:t>
            </w:r>
            <w:r w:rsidRPr="008F4428">
              <w:t xml:space="preserve">understanding. Learners feel safe to take risks when testing and applying their learning without fear of </w:t>
            </w:r>
            <w:r>
              <w:t xml:space="preserve">failure or </w:t>
            </w:r>
            <w:r w:rsidRPr="008F4428">
              <w:t xml:space="preserve">embarrassment. </w:t>
            </w:r>
          </w:p>
        </w:tc>
      </w:tr>
      <w:tr w:rsidR="00571041" w:rsidRPr="008F4428" w14:paraId="4A622275" w14:textId="77777777" w:rsidTr="009863DD">
        <w:trPr>
          <w:trHeight w:val="326"/>
        </w:trPr>
        <w:tc>
          <w:tcPr>
            <w:tcW w:w="1659" w:type="dxa"/>
            <w:gridSpan w:val="2"/>
            <w:vMerge/>
            <w:shd w:val="clear" w:color="auto" w:fill="DBE5F1" w:themeFill="accent1" w:themeFillTint="33"/>
          </w:tcPr>
          <w:p w14:paraId="19156356" w14:textId="77777777" w:rsidR="00571041" w:rsidRPr="008F4428" w:rsidRDefault="00571041" w:rsidP="008F4428">
            <w:pPr>
              <w:pStyle w:val="Black"/>
            </w:pPr>
          </w:p>
        </w:tc>
        <w:tc>
          <w:tcPr>
            <w:tcW w:w="2453" w:type="dxa"/>
            <w:shd w:val="clear" w:color="auto" w:fill="F2F2F2" w:themeFill="background1" w:themeFillShade="F2"/>
          </w:tcPr>
          <w:p w14:paraId="3D350D80" w14:textId="77777777" w:rsidR="00571041" w:rsidRDefault="00571041" w:rsidP="008F4428">
            <w:pPr>
              <w:pStyle w:val="Black"/>
            </w:pPr>
            <w:r>
              <w:t>3.1.2</w:t>
            </w:r>
          </w:p>
          <w:p w14:paraId="64035A0B" w14:textId="0E92C5D3" w:rsidR="00571041" w:rsidRPr="008F4428" w:rsidRDefault="00571041" w:rsidP="008F4428">
            <w:pPr>
              <w:pStyle w:val="Black"/>
            </w:pPr>
            <w:r w:rsidRPr="008F4428">
              <w:t>Collaborat</w:t>
            </w:r>
            <w:r>
              <w:t>ion</w:t>
            </w:r>
          </w:p>
        </w:tc>
        <w:tc>
          <w:tcPr>
            <w:tcW w:w="10773" w:type="dxa"/>
            <w:gridSpan w:val="2"/>
            <w:shd w:val="clear" w:color="auto" w:fill="F2F2F2" w:themeFill="background1" w:themeFillShade="F2"/>
          </w:tcPr>
          <w:p w14:paraId="1AB5C563" w14:textId="4154F1CC" w:rsidR="00571041" w:rsidRPr="008F4428" w:rsidRDefault="00571041" w:rsidP="00E61E5D">
            <w:pPr>
              <w:pStyle w:val="Black"/>
            </w:pPr>
            <w:r w:rsidRPr="006A07FA">
              <w:t>Learners’ mutual support enables them to learn collaboratively</w:t>
            </w:r>
            <w:r>
              <w:t xml:space="preserve"> with any member of their group</w:t>
            </w:r>
            <w:r w:rsidRPr="006A07FA">
              <w:t>, so benefitting from a wider pool of ideas and perspectives. The sharing of ideas and sense of collaboration promotes curiosity and independent learning. Learners are as likely to note strong learning points from peers as from the teacher.</w:t>
            </w:r>
            <w:r>
              <w:t xml:space="preserve"> Learners work and communicate effectively as group leaders or team members to achieve mutually agreed goals.  </w:t>
            </w:r>
          </w:p>
        </w:tc>
      </w:tr>
      <w:tr w:rsidR="00571041" w:rsidRPr="008F4428" w14:paraId="17997C16" w14:textId="77777777" w:rsidTr="009863DD">
        <w:trPr>
          <w:trHeight w:val="326"/>
        </w:trPr>
        <w:tc>
          <w:tcPr>
            <w:tcW w:w="1659" w:type="dxa"/>
            <w:gridSpan w:val="2"/>
            <w:vMerge/>
            <w:shd w:val="clear" w:color="auto" w:fill="DBE5F1" w:themeFill="accent1" w:themeFillTint="33"/>
          </w:tcPr>
          <w:p w14:paraId="7D55FD8A" w14:textId="77777777" w:rsidR="00571041" w:rsidRPr="008F4428" w:rsidRDefault="00571041" w:rsidP="00D60658">
            <w:pPr>
              <w:pStyle w:val="Black"/>
            </w:pPr>
          </w:p>
        </w:tc>
        <w:tc>
          <w:tcPr>
            <w:tcW w:w="2453" w:type="dxa"/>
            <w:shd w:val="clear" w:color="auto" w:fill="F2F2F2" w:themeFill="background1" w:themeFillShade="F2"/>
          </w:tcPr>
          <w:p w14:paraId="7744326D" w14:textId="77777777" w:rsidR="00571041" w:rsidRDefault="00571041" w:rsidP="00D60658">
            <w:pPr>
              <w:pStyle w:val="Black"/>
            </w:pPr>
            <w:r>
              <w:t>3.1.3</w:t>
            </w:r>
          </w:p>
          <w:p w14:paraId="66EC9DA1" w14:textId="1B6DE271" w:rsidR="00571041" w:rsidRDefault="00571041" w:rsidP="00D60658">
            <w:pPr>
              <w:pStyle w:val="Black"/>
            </w:pPr>
            <w:r w:rsidRPr="008F4428">
              <w:t>Engagement</w:t>
            </w:r>
          </w:p>
        </w:tc>
        <w:tc>
          <w:tcPr>
            <w:tcW w:w="10773" w:type="dxa"/>
            <w:gridSpan w:val="2"/>
            <w:shd w:val="clear" w:color="auto" w:fill="F2F2F2" w:themeFill="background1" w:themeFillShade="F2"/>
          </w:tcPr>
          <w:p w14:paraId="1E680521" w14:textId="42877186" w:rsidR="00571041" w:rsidRPr="006A07FA" w:rsidRDefault="00571041" w:rsidP="00E61E5D">
            <w:pPr>
              <w:pStyle w:val="Black"/>
            </w:pPr>
            <w:r w:rsidRPr="008F4428">
              <w:t xml:space="preserve">Learners are excited to learn and explore in </w:t>
            </w:r>
            <w:r>
              <w:t>lessons</w:t>
            </w:r>
            <w:r w:rsidRPr="008F4428">
              <w:t xml:space="preserve"> and beyond. </w:t>
            </w:r>
            <w:r>
              <w:t>They</w:t>
            </w:r>
            <w:r w:rsidRPr="008F4428">
              <w:t xml:space="preserve"> demonstrate their motivation through their readiness to learn, engagemen</w:t>
            </w:r>
            <w:r>
              <w:t>t</w:t>
            </w:r>
            <w:r w:rsidRPr="008F4428">
              <w:t xml:space="preserve"> in tasks and </w:t>
            </w:r>
            <w:r>
              <w:t xml:space="preserve">the personal contributions they can make to their own and others' learning. </w:t>
            </w:r>
            <w:r w:rsidRPr="00897A42">
              <w:t xml:space="preserve">They work in a rewarding ‘can-do’ environment where </w:t>
            </w:r>
            <w:r>
              <w:t xml:space="preserve">a </w:t>
            </w:r>
            <w:r w:rsidRPr="00897A42">
              <w:t xml:space="preserve">high level of personal investment in learning </w:t>
            </w:r>
            <w:r>
              <w:t>is</w:t>
            </w:r>
            <w:r w:rsidRPr="00897A42">
              <w:t xml:space="preserve"> the norm. They attend all lessons, are punctual and are advocates and ambassadors for their courses.</w:t>
            </w:r>
          </w:p>
        </w:tc>
      </w:tr>
      <w:tr w:rsidR="00571041" w:rsidRPr="008F4428" w14:paraId="36E9606F" w14:textId="77777777" w:rsidTr="009863DD">
        <w:trPr>
          <w:trHeight w:val="326"/>
        </w:trPr>
        <w:tc>
          <w:tcPr>
            <w:tcW w:w="1659" w:type="dxa"/>
            <w:gridSpan w:val="2"/>
            <w:vMerge/>
            <w:shd w:val="clear" w:color="auto" w:fill="DBE5F1" w:themeFill="accent1" w:themeFillTint="33"/>
          </w:tcPr>
          <w:p w14:paraId="31D0C4E3" w14:textId="77777777" w:rsidR="00571041" w:rsidRPr="008F4428" w:rsidRDefault="00571041" w:rsidP="00D60658">
            <w:pPr>
              <w:pStyle w:val="Black"/>
            </w:pPr>
          </w:p>
        </w:tc>
        <w:tc>
          <w:tcPr>
            <w:tcW w:w="2453" w:type="dxa"/>
            <w:shd w:val="clear" w:color="auto" w:fill="F2F2F2" w:themeFill="background1" w:themeFillShade="F2"/>
          </w:tcPr>
          <w:p w14:paraId="5384D6DF" w14:textId="77777777" w:rsidR="00571041" w:rsidRDefault="00571041" w:rsidP="00D60658">
            <w:pPr>
              <w:pStyle w:val="Black"/>
            </w:pPr>
            <w:r>
              <w:t>3.1.4</w:t>
            </w:r>
          </w:p>
          <w:p w14:paraId="311DFEE6" w14:textId="68244C02" w:rsidR="00571041" w:rsidRPr="008F4428" w:rsidRDefault="00571041" w:rsidP="00D60658">
            <w:pPr>
              <w:pStyle w:val="Black"/>
            </w:pPr>
            <w:r w:rsidRPr="008F4428">
              <w:t>Prepared</w:t>
            </w:r>
            <w:r>
              <w:t>ness</w:t>
            </w:r>
          </w:p>
        </w:tc>
        <w:tc>
          <w:tcPr>
            <w:tcW w:w="10773" w:type="dxa"/>
            <w:gridSpan w:val="2"/>
            <w:shd w:val="clear" w:color="auto" w:fill="F2F2F2" w:themeFill="background1" w:themeFillShade="F2"/>
          </w:tcPr>
          <w:p w14:paraId="66C88D80" w14:textId="59D2A391" w:rsidR="00571041" w:rsidRPr="008F4428" w:rsidRDefault="00571041" w:rsidP="00E61E5D">
            <w:pPr>
              <w:pStyle w:val="Black"/>
            </w:pPr>
            <w:r w:rsidRPr="008F4428">
              <w:t xml:space="preserve">Learners </w:t>
            </w:r>
            <w:r>
              <w:t>arrive at college with a ready-to-learn mindset. They have considered the day's work ahead and arrive with all required learning materials</w:t>
            </w:r>
            <w:r w:rsidR="003F1740">
              <w:t>,</w:t>
            </w:r>
            <w:r>
              <w:t xml:space="preserve"> appropriate attire</w:t>
            </w:r>
            <w:r w:rsidR="003F1740">
              <w:t>, and all home- and preparation-work completed</w:t>
            </w:r>
            <w:r>
              <w:t xml:space="preserve">. </w:t>
            </w:r>
          </w:p>
        </w:tc>
      </w:tr>
      <w:tr w:rsidR="00571041" w:rsidRPr="008F4428" w14:paraId="0B29C9DD" w14:textId="77777777" w:rsidTr="009863DD">
        <w:trPr>
          <w:trHeight w:val="326"/>
        </w:trPr>
        <w:tc>
          <w:tcPr>
            <w:tcW w:w="1659" w:type="dxa"/>
            <w:gridSpan w:val="2"/>
            <w:vMerge/>
            <w:shd w:val="clear" w:color="auto" w:fill="DBE5F1" w:themeFill="accent1" w:themeFillTint="33"/>
          </w:tcPr>
          <w:p w14:paraId="3225629C" w14:textId="77777777" w:rsidR="00571041" w:rsidRPr="008F4428" w:rsidRDefault="00571041" w:rsidP="00D60658">
            <w:pPr>
              <w:pStyle w:val="Black"/>
            </w:pPr>
          </w:p>
        </w:tc>
        <w:tc>
          <w:tcPr>
            <w:tcW w:w="2453" w:type="dxa"/>
            <w:shd w:val="clear" w:color="auto" w:fill="F2F2F2" w:themeFill="background1" w:themeFillShade="F2"/>
          </w:tcPr>
          <w:p w14:paraId="6DE53944" w14:textId="77777777" w:rsidR="00571041" w:rsidRDefault="00571041" w:rsidP="00D60658">
            <w:pPr>
              <w:pStyle w:val="Black"/>
            </w:pPr>
            <w:r>
              <w:t>3.1.5</w:t>
            </w:r>
          </w:p>
          <w:p w14:paraId="5F44BDCE" w14:textId="6194B93A" w:rsidR="00571041" w:rsidRPr="008F4428" w:rsidRDefault="00571041" w:rsidP="00D60658">
            <w:pPr>
              <w:pStyle w:val="Black"/>
            </w:pPr>
            <w:r w:rsidRPr="008F4428">
              <w:t xml:space="preserve">Organisation </w:t>
            </w:r>
          </w:p>
        </w:tc>
        <w:tc>
          <w:tcPr>
            <w:tcW w:w="10773" w:type="dxa"/>
            <w:gridSpan w:val="2"/>
            <w:shd w:val="clear" w:color="auto" w:fill="F2F2F2" w:themeFill="background1" w:themeFillShade="F2"/>
          </w:tcPr>
          <w:p w14:paraId="6B327E72" w14:textId="520E04D9" w:rsidR="00571041" w:rsidRPr="008F4428" w:rsidRDefault="00571041" w:rsidP="00E61E5D">
            <w:pPr>
              <w:pStyle w:val="Black"/>
            </w:pPr>
            <w:r w:rsidRPr="008F4428">
              <w:t xml:space="preserve">Learners </w:t>
            </w:r>
            <w:r>
              <w:t xml:space="preserve">use their </w:t>
            </w:r>
            <w:r w:rsidRPr="008F4428">
              <w:t>excellent organisational skills</w:t>
            </w:r>
            <w:r>
              <w:t xml:space="preserve"> to manage their learning and </w:t>
            </w:r>
            <w:r w:rsidRPr="008F4428">
              <w:t xml:space="preserve">meet all </w:t>
            </w:r>
            <w:r>
              <w:t xml:space="preserve">milestones and </w:t>
            </w:r>
            <w:r w:rsidRPr="008F4428">
              <w:t>deadlines</w:t>
            </w:r>
            <w:r>
              <w:t xml:space="preserve">. Their </w:t>
            </w:r>
            <w:r w:rsidRPr="008F4428">
              <w:t xml:space="preserve">motivation, passion and pride </w:t>
            </w:r>
            <w:r>
              <w:t xml:space="preserve">is evident in their attitude towards their studies and quality of their work. </w:t>
            </w:r>
          </w:p>
        </w:tc>
      </w:tr>
      <w:tr w:rsidR="00571041" w:rsidRPr="008F4428" w14:paraId="1359BCAB" w14:textId="77777777" w:rsidTr="009863DD">
        <w:trPr>
          <w:trHeight w:val="326"/>
        </w:trPr>
        <w:tc>
          <w:tcPr>
            <w:tcW w:w="1659" w:type="dxa"/>
            <w:gridSpan w:val="2"/>
            <w:vMerge/>
            <w:shd w:val="clear" w:color="auto" w:fill="DBE5F1" w:themeFill="accent1" w:themeFillTint="33"/>
          </w:tcPr>
          <w:p w14:paraId="7FA19846" w14:textId="77777777" w:rsidR="00571041" w:rsidRPr="008F4428" w:rsidRDefault="00571041" w:rsidP="00D60658">
            <w:pPr>
              <w:pStyle w:val="Black"/>
            </w:pPr>
          </w:p>
        </w:tc>
        <w:tc>
          <w:tcPr>
            <w:tcW w:w="2453" w:type="dxa"/>
            <w:shd w:val="clear" w:color="auto" w:fill="F2F2F2" w:themeFill="background1" w:themeFillShade="F2"/>
          </w:tcPr>
          <w:p w14:paraId="5242ABF7" w14:textId="77777777" w:rsidR="00571041" w:rsidRDefault="00571041" w:rsidP="00D60658">
            <w:pPr>
              <w:pStyle w:val="Black"/>
            </w:pPr>
            <w:r>
              <w:t>3.1.6</w:t>
            </w:r>
          </w:p>
          <w:p w14:paraId="755BA6CB" w14:textId="2192DE68" w:rsidR="00571041" w:rsidRPr="008F4428" w:rsidRDefault="00571041" w:rsidP="00D60658">
            <w:pPr>
              <w:pStyle w:val="Black"/>
            </w:pPr>
            <w:r w:rsidRPr="008F4428">
              <w:t xml:space="preserve">Research </w:t>
            </w:r>
          </w:p>
        </w:tc>
        <w:tc>
          <w:tcPr>
            <w:tcW w:w="10773" w:type="dxa"/>
            <w:gridSpan w:val="2"/>
            <w:shd w:val="clear" w:color="auto" w:fill="F2F2F2" w:themeFill="background1" w:themeFillShade="F2"/>
          </w:tcPr>
          <w:p w14:paraId="581AB334" w14:textId="10782AFC" w:rsidR="00571041" w:rsidRPr="008F4428" w:rsidRDefault="00571041" w:rsidP="00E61E5D">
            <w:pPr>
              <w:pStyle w:val="Black"/>
            </w:pPr>
            <w:r w:rsidRPr="008F4428">
              <w:t xml:space="preserve">Learners use </w:t>
            </w:r>
            <w:r w:rsidR="003F1740">
              <w:t>research skills</w:t>
            </w:r>
            <w:r>
              <w:t xml:space="preserve"> well </w:t>
            </w:r>
            <w:r w:rsidRPr="008F4428">
              <w:t xml:space="preserve">to locate information and extend their knowledge and understanding. Learners grow in confidence when collating information, recording </w:t>
            </w:r>
            <w:r>
              <w:t>their</w:t>
            </w:r>
            <w:r w:rsidRPr="008F4428">
              <w:t xml:space="preserve"> findings and checking </w:t>
            </w:r>
            <w:r>
              <w:t xml:space="preserve">the </w:t>
            </w:r>
            <w:r w:rsidRPr="008F4428">
              <w:t>validity</w:t>
            </w:r>
            <w:r>
              <w:t xml:space="preserve"> of sources</w:t>
            </w:r>
            <w:r w:rsidRPr="008F4428">
              <w:t>. Learners synthesise, evaluate, compare and present their</w:t>
            </w:r>
            <w:r>
              <w:t xml:space="preserve"> considered</w:t>
            </w:r>
            <w:r w:rsidRPr="008F4428">
              <w:t xml:space="preserve"> findings </w:t>
            </w:r>
            <w:r>
              <w:t xml:space="preserve">effectively. Where appropriate, learners </w:t>
            </w:r>
            <w:r w:rsidRPr="008F4428">
              <w:t>referenc</w:t>
            </w:r>
            <w:r>
              <w:t>e</w:t>
            </w:r>
            <w:r w:rsidRPr="008F4428">
              <w:t xml:space="preserve"> their sources to create high quality assignments. </w:t>
            </w:r>
          </w:p>
        </w:tc>
      </w:tr>
      <w:tr w:rsidR="003B6957" w:rsidRPr="008F4428" w14:paraId="001BD0D5" w14:textId="77777777" w:rsidTr="009863DD">
        <w:trPr>
          <w:trHeight w:val="326"/>
        </w:trPr>
        <w:tc>
          <w:tcPr>
            <w:tcW w:w="1659" w:type="dxa"/>
            <w:gridSpan w:val="2"/>
            <w:vMerge/>
            <w:shd w:val="clear" w:color="auto" w:fill="DBE5F1" w:themeFill="accent1" w:themeFillTint="33"/>
          </w:tcPr>
          <w:p w14:paraId="44A4EFB6" w14:textId="77777777" w:rsidR="003B6957" w:rsidRPr="008F4428" w:rsidRDefault="003B6957" w:rsidP="00D60658">
            <w:pPr>
              <w:pStyle w:val="Black"/>
            </w:pPr>
          </w:p>
        </w:tc>
        <w:tc>
          <w:tcPr>
            <w:tcW w:w="2453" w:type="dxa"/>
            <w:shd w:val="clear" w:color="auto" w:fill="F2F2F2" w:themeFill="background1" w:themeFillShade="F2"/>
          </w:tcPr>
          <w:p w14:paraId="577DED76" w14:textId="77777777" w:rsidR="00C53916" w:rsidRDefault="003B6957" w:rsidP="0022393E">
            <w:pPr>
              <w:pStyle w:val="Black"/>
            </w:pPr>
            <w:r>
              <w:t xml:space="preserve">3.1.7 </w:t>
            </w:r>
          </w:p>
          <w:p w14:paraId="068CEFD0" w14:textId="336F7F93" w:rsidR="003B6957" w:rsidRDefault="003B6957" w:rsidP="0022393E">
            <w:pPr>
              <w:pStyle w:val="Black"/>
            </w:pPr>
            <w:r>
              <w:t>Literacy</w:t>
            </w:r>
          </w:p>
        </w:tc>
        <w:tc>
          <w:tcPr>
            <w:tcW w:w="10773" w:type="dxa"/>
            <w:gridSpan w:val="2"/>
            <w:shd w:val="clear" w:color="auto" w:fill="F2F2F2" w:themeFill="background1" w:themeFillShade="F2"/>
          </w:tcPr>
          <w:p w14:paraId="67D8B81B" w14:textId="6884A97E" w:rsidR="003B6957" w:rsidRDefault="003B6957" w:rsidP="00D60658">
            <w:pPr>
              <w:pStyle w:val="Red"/>
            </w:pPr>
            <w:r w:rsidRPr="004D2C79">
              <w:rPr>
                <w:color w:val="auto"/>
              </w:rPr>
              <w:t>Learners are articulate and confident in all aspects of their written work, demonstrating effective higher-order critical thinking and reflection skills in different contexts, including</w:t>
            </w:r>
            <w:r w:rsidR="00BC0A1E">
              <w:rPr>
                <w:color w:val="auto"/>
              </w:rPr>
              <w:t xml:space="preserve"> the</w:t>
            </w:r>
            <w:r w:rsidRPr="004D2C79">
              <w:rPr>
                <w:color w:val="auto"/>
              </w:rPr>
              <w:t xml:space="preserve"> course work, independent study and career planning</w:t>
            </w:r>
            <w:r w:rsidR="00BC0A1E">
              <w:rPr>
                <w:color w:val="auto"/>
              </w:rPr>
              <w:t xml:space="preserve"> required of their programme of study</w:t>
            </w:r>
            <w:r w:rsidRPr="004D2C79">
              <w:rPr>
                <w:color w:val="auto"/>
              </w:rPr>
              <w:t>.</w:t>
            </w:r>
          </w:p>
        </w:tc>
      </w:tr>
      <w:tr w:rsidR="00571041" w:rsidRPr="008F4428" w14:paraId="4F1976B9" w14:textId="77777777" w:rsidTr="009863DD">
        <w:trPr>
          <w:trHeight w:val="326"/>
        </w:trPr>
        <w:tc>
          <w:tcPr>
            <w:tcW w:w="1659" w:type="dxa"/>
            <w:gridSpan w:val="2"/>
            <w:vMerge/>
            <w:shd w:val="clear" w:color="auto" w:fill="DBE5F1" w:themeFill="accent1" w:themeFillTint="33"/>
          </w:tcPr>
          <w:p w14:paraId="70676E71" w14:textId="77777777" w:rsidR="00571041" w:rsidRPr="008F4428" w:rsidRDefault="00571041" w:rsidP="00D60658">
            <w:pPr>
              <w:pStyle w:val="Black"/>
            </w:pPr>
          </w:p>
        </w:tc>
        <w:tc>
          <w:tcPr>
            <w:tcW w:w="2453" w:type="dxa"/>
            <w:shd w:val="clear" w:color="auto" w:fill="F2F2F2" w:themeFill="background1" w:themeFillShade="F2"/>
          </w:tcPr>
          <w:p w14:paraId="0AEB4B18" w14:textId="49071E27" w:rsidR="00571041" w:rsidRDefault="00571041" w:rsidP="0022393E">
            <w:pPr>
              <w:pStyle w:val="Black"/>
            </w:pPr>
            <w:r>
              <w:t>3.1.</w:t>
            </w:r>
            <w:r w:rsidR="003B6957">
              <w:t>8</w:t>
            </w:r>
          </w:p>
          <w:p w14:paraId="4B04D973" w14:textId="245D5E8B" w:rsidR="00571041" w:rsidRPr="008F4428" w:rsidRDefault="0022393E" w:rsidP="0022393E">
            <w:pPr>
              <w:pStyle w:val="Black"/>
            </w:pPr>
            <w:r>
              <w:t>Digital</w:t>
            </w:r>
          </w:p>
        </w:tc>
        <w:tc>
          <w:tcPr>
            <w:tcW w:w="10773" w:type="dxa"/>
            <w:gridSpan w:val="2"/>
            <w:shd w:val="clear" w:color="auto" w:fill="F2F2F2" w:themeFill="background1" w:themeFillShade="F2"/>
          </w:tcPr>
          <w:p w14:paraId="1416F09D" w14:textId="55AB68D3" w:rsidR="00571041" w:rsidRPr="008F4428" w:rsidRDefault="004B61CA" w:rsidP="004B61CA">
            <w:pPr>
              <w:pStyle w:val="Black"/>
            </w:pPr>
            <w:r w:rsidRPr="004B61CA">
              <w:t xml:space="preserve">Learners make full use of all online platforms </w:t>
            </w:r>
            <w:r>
              <w:t xml:space="preserve">appropriate to their programme of study </w:t>
            </w:r>
            <w:r w:rsidRPr="004B61CA">
              <w:t>through which the college provides its learning resources and educational development.</w:t>
            </w:r>
            <w:r>
              <w:t xml:space="preserve"> </w:t>
            </w:r>
            <w:r w:rsidR="00571041">
              <w:t xml:space="preserve">Through their effective online </w:t>
            </w:r>
            <w:r w:rsidR="003F1740">
              <w:t xml:space="preserve">collaboration and </w:t>
            </w:r>
            <w:r w:rsidR="00571041">
              <w:t>communication</w:t>
            </w:r>
            <w:r w:rsidR="00571041" w:rsidRPr="006C2D26">
              <w:t xml:space="preserve"> with peers and staff</w:t>
            </w:r>
            <w:r w:rsidR="00571041">
              <w:t xml:space="preserve">, </w:t>
            </w:r>
            <w:r w:rsidR="00D22F31">
              <w:t>learners</w:t>
            </w:r>
            <w:r w:rsidR="00571041">
              <w:t xml:space="preserve"> are always on target, prepared and looking forward to their next learning experience</w:t>
            </w:r>
            <w:r w:rsidR="00571041" w:rsidRPr="006C2D26">
              <w:t>.</w:t>
            </w:r>
            <w:r w:rsidR="00571041">
              <w:t xml:space="preserve"> </w:t>
            </w:r>
          </w:p>
        </w:tc>
      </w:tr>
      <w:tr w:rsidR="003B6957" w:rsidRPr="008F4428" w14:paraId="0B4E6AA6" w14:textId="77777777" w:rsidTr="009863DD">
        <w:trPr>
          <w:trHeight w:val="326"/>
        </w:trPr>
        <w:tc>
          <w:tcPr>
            <w:tcW w:w="1659" w:type="dxa"/>
            <w:gridSpan w:val="2"/>
            <w:vMerge w:val="restart"/>
            <w:shd w:val="clear" w:color="auto" w:fill="DBE5F1" w:themeFill="accent1" w:themeFillTint="33"/>
          </w:tcPr>
          <w:p w14:paraId="74F5B7BF" w14:textId="7FCEA957" w:rsidR="003B6957" w:rsidRDefault="003B6957" w:rsidP="00571041">
            <w:pPr>
              <w:pStyle w:val="Black"/>
            </w:pPr>
            <w:r>
              <w:t>3.2</w:t>
            </w:r>
          </w:p>
          <w:p w14:paraId="5D31CCDE" w14:textId="2552CFAC" w:rsidR="003B6957" w:rsidRPr="008F4428" w:rsidRDefault="003B6957" w:rsidP="00571041">
            <w:pPr>
              <w:pStyle w:val="Black"/>
            </w:pPr>
            <w:r>
              <w:t>S</w:t>
            </w:r>
            <w:r w:rsidRPr="008F4428">
              <w:t>kills</w:t>
            </w:r>
          </w:p>
        </w:tc>
        <w:tc>
          <w:tcPr>
            <w:tcW w:w="2453" w:type="dxa"/>
            <w:shd w:val="clear" w:color="auto" w:fill="F2F2F2" w:themeFill="background1" w:themeFillShade="F2"/>
          </w:tcPr>
          <w:p w14:paraId="3800D3D2" w14:textId="77777777" w:rsidR="003B6957" w:rsidRDefault="003B6957" w:rsidP="00571041">
            <w:pPr>
              <w:pStyle w:val="Black"/>
            </w:pPr>
            <w:r>
              <w:t>3.2.1</w:t>
            </w:r>
          </w:p>
          <w:p w14:paraId="5A8D5995" w14:textId="1974FC54" w:rsidR="003B6957" w:rsidRPr="008F4428" w:rsidRDefault="003B6957" w:rsidP="00571041">
            <w:pPr>
              <w:pStyle w:val="Black"/>
            </w:pPr>
            <w:r>
              <w:t>Standards</w:t>
            </w:r>
          </w:p>
        </w:tc>
        <w:tc>
          <w:tcPr>
            <w:tcW w:w="10773" w:type="dxa"/>
            <w:gridSpan w:val="2"/>
            <w:shd w:val="clear" w:color="auto" w:fill="F2F2F2" w:themeFill="background1" w:themeFillShade="F2"/>
          </w:tcPr>
          <w:p w14:paraId="7BB28969" w14:textId="62B80658" w:rsidR="003B6957" w:rsidRPr="008F4428" w:rsidRDefault="003B6957" w:rsidP="00E61E5D">
            <w:pPr>
              <w:pStyle w:val="Black"/>
            </w:pPr>
            <w:r>
              <w:t>Learners use their understanding of tutor expectations and, where appropriate, current industry standards and developments as a benchmark against which they can measure their own performance, progress and ambition. The work ethic and culture developed and promoted by staff</w:t>
            </w:r>
            <w:r w:rsidR="004B61CA">
              <w:t xml:space="preserve"> (which mirrors industry professional standards)</w:t>
            </w:r>
            <w:r>
              <w:t xml:space="preserve"> prepares learners effectively for the transition to their next step. </w:t>
            </w:r>
            <w:r w:rsidR="001B3BD3">
              <w:t>L</w:t>
            </w:r>
            <w:r w:rsidR="001B3BD3" w:rsidRPr="001B3BD3">
              <w:t>earners communicate professionally with both peers and staff.</w:t>
            </w:r>
          </w:p>
        </w:tc>
      </w:tr>
      <w:tr w:rsidR="003B6957" w:rsidRPr="008F4428" w14:paraId="10D05D82" w14:textId="77777777" w:rsidTr="009863DD">
        <w:trPr>
          <w:trHeight w:val="326"/>
        </w:trPr>
        <w:tc>
          <w:tcPr>
            <w:tcW w:w="1659" w:type="dxa"/>
            <w:gridSpan w:val="2"/>
            <w:vMerge/>
            <w:shd w:val="clear" w:color="auto" w:fill="DBE5F1" w:themeFill="accent1" w:themeFillTint="33"/>
          </w:tcPr>
          <w:p w14:paraId="61F41C9F" w14:textId="77777777" w:rsidR="003B6957" w:rsidRDefault="003B6957" w:rsidP="00571041">
            <w:pPr>
              <w:pStyle w:val="Black"/>
            </w:pPr>
          </w:p>
        </w:tc>
        <w:tc>
          <w:tcPr>
            <w:tcW w:w="2453" w:type="dxa"/>
            <w:shd w:val="clear" w:color="auto" w:fill="F2F2F2" w:themeFill="background1" w:themeFillShade="F2"/>
          </w:tcPr>
          <w:p w14:paraId="3CD43A20" w14:textId="77777777" w:rsidR="003B6957" w:rsidRDefault="003B6957" w:rsidP="00571041">
            <w:pPr>
              <w:pStyle w:val="Black"/>
            </w:pPr>
            <w:r>
              <w:t>3.2.2</w:t>
            </w:r>
          </w:p>
          <w:p w14:paraId="6CFADD45" w14:textId="75684962" w:rsidR="003B6957" w:rsidRPr="008F4428" w:rsidRDefault="003B6957" w:rsidP="00571041">
            <w:pPr>
              <w:pStyle w:val="Black"/>
            </w:pPr>
            <w:r w:rsidRPr="008F4428">
              <w:t xml:space="preserve">Pride </w:t>
            </w:r>
          </w:p>
        </w:tc>
        <w:tc>
          <w:tcPr>
            <w:tcW w:w="10773" w:type="dxa"/>
            <w:gridSpan w:val="2"/>
            <w:shd w:val="clear" w:color="auto" w:fill="F2F2F2" w:themeFill="background1" w:themeFillShade="F2"/>
          </w:tcPr>
          <w:p w14:paraId="6F079447" w14:textId="256EB375" w:rsidR="003B6957" w:rsidRDefault="003B6957" w:rsidP="00E61E5D">
            <w:pPr>
              <w:pStyle w:val="Black"/>
            </w:pPr>
            <w:r>
              <w:t>Learners take pride in completing work to a high standard. They communicate effectively their interest in, and passion for, their subject. Learners give detailed, terminology-rich explanations about their work and their approach to its development.</w:t>
            </w:r>
          </w:p>
        </w:tc>
      </w:tr>
      <w:tr w:rsidR="003B6957" w:rsidRPr="008F4428" w14:paraId="48B7CE8D" w14:textId="77777777" w:rsidTr="009863DD">
        <w:trPr>
          <w:trHeight w:val="326"/>
        </w:trPr>
        <w:tc>
          <w:tcPr>
            <w:tcW w:w="1659" w:type="dxa"/>
            <w:gridSpan w:val="2"/>
            <w:vMerge/>
            <w:shd w:val="clear" w:color="auto" w:fill="DBE5F1" w:themeFill="accent1" w:themeFillTint="33"/>
          </w:tcPr>
          <w:p w14:paraId="5A5E0C30" w14:textId="77777777" w:rsidR="003B6957" w:rsidRPr="008F4428" w:rsidRDefault="003B6957" w:rsidP="00571041">
            <w:pPr>
              <w:pStyle w:val="Black"/>
            </w:pPr>
          </w:p>
        </w:tc>
        <w:tc>
          <w:tcPr>
            <w:tcW w:w="2453" w:type="dxa"/>
            <w:shd w:val="clear" w:color="auto" w:fill="F2F2F2" w:themeFill="background1" w:themeFillShade="F2"/>
          </w:tcPr>
          <w:p w14:paraId="00268A28" w14:textId="77777777" w:rsidR="003B6957" w:rsidRDefault="003B6957" w:rsidP="00571041">
            <w:pPr>
              <w:pStyle w:val="Black"/>
            </w:pPr>
            <w:r>
              <w:t>3.2.3</w:t>
            </w:r>
          </w:p>
          <w:p w14:paraId="65067BE1" w14:textId="52076124" w:rsidR="003B6957" w:rsidRPr="008F4428" w:rsidRDefault="003B6957" w:rsidP="00571041">
            <w:pPr>
              <w:pStyle w:val="Black"/>
            </w:pPr>
            <w:r>
              <w:t>Application</w:t>
            </w:r>
          </w:p>
        </w:tc>
        <w:tc>
          <w:tcPr>
            <w:tcW w:w="10773" w:type="dxa"/>
            <w:gridSpan w:val="2"/>
            <w:shd w:val="clear" w:color="auto" w:fill="F2F2F2" w:themeFill="background1" w:themeFillShade="F2"/>
          </w:tcPr>
          <w:p w14:paraId="44CB5CE6" w14:textId="64374A18" w:rsidR="003B6957" w:rsidRPr="008F4428" w:rsidRDefault="003B6957" w:rsidP="009B5A09">
            <w:pPr>
              <w:pStyle w:val="Black"/>
            </w:pPr>
            <w:r>
              <w:t xml:space="preserve">Learners demonstrate a deep understanding and mastery of their vocational skills. Their understanding of how to learn ensures they can apply this </w:t>
            </w:r>
            <w:r w:rsidR="003F1740">
              <w:t>mastery</w:t>
            </w:r>
            <w:r>
              <w:t xml:space="preserve"> to new and novel situations. Learners </w:t>
            </w:r>
            <w:r w:rsidR="009B5A09">
              <w:t>understand</w:t>
            </w:r>
            <w:r>
              <w:t xml:space="preserve"> the relevance of all elements of their programme to </w:t>
            </w:r>
            <w:r w:rsidR="009B5A09">
              <w:t xml:space="preserve">their progression opportunities and aspirations, and use this understanding to </w:t>
            </w:r>
            <w:r>
              <w:t>succe</w:t>
            </w:r>
            <w:r w:rsidR="009B5A09">
              <w:t>ed</w:t>
            </w:r>
            <w:r>
              <w:t xml:space="preserve"> in assessments.  </w:t>
            </w:r>
          </w:p>
        </w:tc>
      </w:tr>
      <w:tr w:rsidR="003B6957" w:rsidRPr="008F4428" w14:paraId="08AC655C" w14:textId="77777777" w:rsidTr="009863DD">
        <w:trPr>
          <w:trHeight w:val="326"/>
        </w:trPr>
        <w:tc>
          <w:tcPr>
            <w:tcW w:w="1659" w:type="dxa"/>
            <w:gridSpan w:val="2"/>
            <w:vMerge w:val="restart"/>
            <w:shd w:val="clear" w:color="auto" w:fill="DBE5F1" w:themeFill="accent1" w:themeFillTint="33"/>
          </w:tcPr>
          <w:p w14:paraId="2298A562" w14:textId="77777777" w:rsidR="003B6957" w:rsidRDefault="003B6957" w:rsidP="00571041">
            <w:pPr>
              <w:pStyle w:val="Black"/>
            </w:pPr>
            <w:r>
              <w:t>3.3</w:t>
            </w:r>
          </w:p>
          <w:p w14:paraId="5C0D75B7" w14:textId="10799011" w:rsidR="003B6957" w:rsidRPr="008F4428" w:rsidRDefault="003B6957" w:rsidP="00571041">
            <w:pPr>
              <w:pStyle w:val="Black"/>
            </w:pPr>
            <w:r>
              <w:t>Learning culture</w:t>
            </w:r>
          </w:p>
        </w:tc>
        <w:tc>
          <w:tcPr>
            <w:tcW w:w="2453" w:type="dxa"/>
            <w:shd w:val="clear" w:color="auto" w:fill="F2F2F2" w:themeFill="background1" w:themeFillShade="F2"/>
          </w:tcPr>
          <w:p w14:paraId="18A3C4D6" w14:textId="77777777" w:rsidR="003B6957" w:rsidRDefault="003B6957" w:rsidP="00571041">
            <w:pPr>
              <w:pStyle w:val="Black"/>
            </w:pPr>
            <w:r>
              <w:t>3.3.1</w:t>
            </w:r>
          </w:p>
          <w:p w14:paraId="0B69D02A" w14:textId="15ECDAE1" w:rsidR="003B6957" w:rsidRDefault="00B62CFD" w:rsidP="00571041">
            <w:pPr>
              <w:pStyle w:val="Black"/>
            </w:pPr>
            <w:r>
              <w:t>R</w:t>
            </w:r>
            <w:r w:rsidR="003B6957">
              <w:t>elationships</w:t>
            </w:r>
          </w:p>
        </w:tc>
        <w:tc>
          <w:tcPr>
            <w:tcW w:w="10773" w:type="dxa"/>
            <w:gridSpan w:val="2"/>
            <w:shd w:val="clear" w:color="auto" w:fill="F2F2F2" w:themeFill="background1" w:themeFillShade="F2"/>
          </w:tcPr>
          <w:p w14:paraId="75639733" w14:textId="4736D585" w:rsidR="003B6957" w:rsidRDefault="003B6957" w:rsidP="00E61E5D">
            <w:pPr>
              <w:pStyle w:val="Black"/>
            </w:pPr>
            <w:r>
              <w:t>Learners enjoy strong personal relationships with all of their peers</w:t>
            </w:r>
            <w:r w:rsidR="00D22F31">
              <w:t xml:space="preserve"> and staff</w:t>
            </w:r>
            <w:r>
              <w:t xml:space="preserve">, which acts as an additional motivator for attendance and punctuality. Their high level of social confidence comes from their belief that the classroom environment is one in which it is </w:t>
            </w:r>
            <w:r w:rsidRPr="009356AC">
              <w:t xml:space="preserve">safe to make mistakes. They feel comfortable in asking questions of their peers and their teachers and to express and explore their views in a safe and friendly environment without fear of reprisals. This enables </w:t>
            </w:r>
            <w:r>
              <w:t>learners</w:t>
            </w:r>
            <w:r w:rsidRPr="009356AC">
              <w:t xml:space="preserve"> to take risks and explore skills and areas of work outside</w:t>
            </w:r>
            <w:r>
              <w:t xml:space="preserve"> of</w:t>
            </w:r>
            <w:r w:rsidRPr="009356AC">
              <w:t xml:space="preserve"> their comfort zone</w:t>
            </w:r>
            <w:r w:rsidR="003F1740">
              <w:t>s</w:t>
            </w:r>
            <w:r w:rsidRPr="009356AC">
              <w:t xml:space="preserve">. </w:t>
            </w:r>
            <w:r>
              <w:t>Learner</w:t>
            </w:r>
            <w:r w:rsidRPr="009356AC">
              <w:t>s</w:t>
            </w:r>
            <w:r>
              <w:t xml:space="preserve"> feel supported and valued, promoting motivation, and encouraging them to achieve their best.</w:t>
            </w:r>
          </w:p>
        </w:tc>
      </w:tr>
      <w:tr w:rsidR="003B6957" w:rsidRPr="008F4428" w14:paraId="187D5E2B" w14:textId="77777777" w:rsidTr="009863DD">
        <w:trPr>
          <w:trHeight w:val="326"/>
        </w:trPr>
        <w:tc>
          <w:tcPr>
            <w:tcW w:w="1659" w:type="dxa"/>
            <w:gridSpan w:val="2"/>
            <w:vMerge/>
            <w:shd w:val="clear" w:color="auto" w:fill="DBE5F1" w:themeFill="accent1" w:themeFillTint="33"/>
          </w:tcPr>
          <w:p w14:paraId="114E7140" w14:textId="77777777" w:rsidR="003B6957" w:rsidRDefault="003B6957" w:rsidP="003B6957">
            <w:pPr>
              <w:pStyle w:val="Black"/>
            </w:pPr>
          </w:p>
        </w:tc>
        <w:tc>
          <w:tcPr>
            <w:tcW w:w="2453" w:type="dxa"/>
            <w:shd w:val="clear" w:color="auto" w:fill="F2F2F2" w:themeFill="background1" w:themeFillShade="F2"/>
          </w:tcPr>
          <w:p w14:paraId="3677EF9A" w14:textId="77777777" w:rsidR="003B6957" w:rsidRDefault="003B6957" w:rsidP="003B6957">
            <w:pPr>
              <w:pStyle w:val="Black"/>
            </w:pPr>
            <w:r>
              <w:t>3.3.2</w:t>
            </w:r>
          </w:p>
          <w:p w14:paraId="095B58EE" w14:textId="3A959F03" w:rsidR="003B6957" w:rsidRDefault="003B6957" w:rsidP="003B6957">
            <w:pPr>
              <w:pStyle w:val="Black"/>
            </w:pPr>
            <w:r w:rsidRPr="008F4428">
              <w:t>Values</w:t>
            </w:r>
          </w:p>
        </w:tc>
        <w:tc>
          <w:tcPr>
            <w:tcW w:w="10773" w:type="dxa"/>
            <w:gridSpan w:val="2"/>
            <w:shd w:val="clear" w:color="auto" w:fill="F2F2F2" w:themeFill="background1" w:themeFillShade="F2"/>
          </w:tcPr>
          <w:p w14:paraId="106F4A2D" w14:textId="73A9183F" w:rsidR="003B6957" w:rsidRDefault="003B6957" w:rsidP="00E61E5D">
            <w:pPr>
              <w:pStyle w:val="Black"/>
            </w:pPr>
            <w:r w:rsidRPr="008F4428">
              <w:t>Learners embrace the underlying principles of British Values and demonstrate these within the classroom to enhance their own and their peers</w:t>
            </w:r>
            <w:r w:rsidR="003F1740">
              <w:t>'</w:t>
            </w:r>
            <w:r w:rsidRPr="008F4428">
              <w:t xml:space="preserve"> positive learning experiences</w:t>
            </w:r>
            <w:r w:rsidR="004B61CA">
              <w:t>.</w:t>
            </w:r>
            <w:r w:rsidRPr="008F4428">
              <w:t xml:space="preserve"> </w:t>
            </w:r>
            <w:r w:rsidR="004B61CA">
              <w:t xml:space="preserve">The </w:t>
            </w:r>
            <w:r w:rsidRPr="008F4428">
              <w:t>learning environment is conducive to cooperation and peer support</w:t>
            </w:r>
            <w:r w:rsidR="003F1740">
              <w:t>.</w:t>
            </w:r>
            <w:r w:rsidR="004B61CA">
              <w:t xml:space="preserve"> </w:t>
            </w:r>
            <w:r w:rsidR="004B61CA" w:rsidRPr="004B61CA">
              <w:t>Learners relate British Values to their industry and embed them in their practice.</w:t>
            </w:r>
          </w:p>
        </w:tc>
      </w:tr>
      <w:tr w:rsidR="003B6957" w:rsidRPr="008F4428" w14:paraId="4DE11AAC" w14:textId="77777777" w:rsidTr="009863DD">
        <w:trPr>
          <w:trHeight w:val="326"/>
        </w:trPr>
        <w:tc>
          <w:tcPr>
            <w:tcW w:w="1659" w:type="dxa"/>
            <w:gridSpan w:val="2"/>
            <w:vMerge/>
            <w:shd w:val="clear" w:color="auto" w:fill="DBE5F1" w:themeFill="accent1" w:themeFillTint="33"/>
          </w:tcPr>
          <w:p w14:paraId="30FABD6A" w14:textId="77777777" w:rsidR="003B6957" w:rsidRPr="008F4428" w:rsidRDefault="003B6957" w:rsidP="003B6957">
            <w:pPr>
              <w:pStyle w:val="Black"/>
            </w:pPr>
          </w:p>
        </w:tc>
        <w:tc>
          <w:tcPr>
            <w:tcW w:w="2453" w:type="dxa"/>
            <w:shd w:val="clear" w:color="auto" w:fill="F2F2F2" w:themeFill="background1" w:themeFillShade="F2"/>
          </w:tcPr>
          <w:p w14:paraId="387E2B76" w14:textId="77777777" w:rsidR="003B6957" w:rsidRDefault="003B6957" w:rsidP="003B6957">
            <w:pPr>
              <w:pStyle w:val="Black"/>
            </w:pPr>
            <w:r>
              <w:t>3.3.3</w:t>
            </w:r>
          </w:p>
          <w:p w14:paraId="1E4145E1" w14:textId="2E5CC855" w:rsidR="003B6957" w:rsidRDefault="003B6957" w:rsidP="003B6957">
            <w:pPr>
              <w:pStyle w:val="Black"/>
            </w:pPr>
            <w:r w:rsidRPr="008F4428">
              <w:t>Respect</w:t>
            </w:r>
          </w:p>
        </w:tc>
        <w:tc>
          <w:tcPr>
            <w:tcW w:w="10773" w:type="dxa"/>
            <w:gridSpan w:val="2"/>
            <w:shd w:val="clear" w:color="auto" w:fill="F2F2F2" w:themeFill="background1" w:themeFillShade="F2"/>
          </w:tcPr>
          <w:p w14:paraId="49228F52" w14:textId="33BC3DBE" w:rsidR="003B6957" w:rsidRDefault="003F1740" w:rsidP="00E61E5D">
            <w:pPr>
              <w:pStyle w:val="Black"/>
            </w:pPr>
            <w:r>
              <w:t xml:space="preserve">Learners value their own and other differences, whatever these may be, and continually demonstrate their respect for everyone they work with. </w:t>
            </w:r>
          </w:p>
        </w:tc>
      </w:tr>
      <w:tr w:rsidR="003B6957" w:rsidRPr="008F4428" w14:paraId="42111243" w14:textId="77777777" w:rsidTr="009863DD">
        <w:trPr>
          <w:trHeight w:val="326"/>
        </w:trPr>
        <w:tc>
          <w:tcPr>
            <w:tcW w:w="1659" w:type="dxa"/>
            <w:gridSpan w:val="2"/>
            <w:vMerge/>
            <w:shd w:val="clear" w:color="auto" w:fill="DBE5F1" w:themeFill="accent1" w:themeFillTint="33"/>
          </w:tcPr>
          <w:p w14:paraId="64D8139E" w14:textId="77777777" w:rsidR="003B6957" w:rsidRPr="008F4428" w:rsidRDefault="003B6957" w:rsidP="003B6957">
            <w:pPr>
              <w:pStyle w:val="Black"/>
            </w:pPr>
          </w:p>
        </w:tc>
        <w:tc>
          <w:tcPr>
            <w:tcW w:w="2453" w:type="dxa"/>
            <w:shd w:val="clear" w:color="auto" w:fill="F2F2F2" w:themeFill="background1" w:themeFillShade="F2"/>
          </w:tcPr>
          <w:p w14:paraId="6AE98142" w14:textId="77777777" w:rsidR="003B6957" w:rsidRDefault="003B6957" w:rsidP="003B6957">
            <w:pPr>
              <w:pStyle w:val="Black"/>
            </w:pPr>
            <w:r>
              <w:t>3.3.4</w:t>
            </w:r>
          </w:p>
          <w:p w14:paraId="50757E59" w14:textId="2EF8A649" w:rsidR="003B6957" w:rsidRDefault="00B62CFD" w:rsidP="003B6957">
            <w:pPr>
              <w:pStyle w:val="Black"/>
            </w:pPr>
            <w:r>
              <w:t>Advocacy</w:t>
            </w:r>
          </w:p>
        </w:tc>
        <w:tc>
          <w:tcPr>
            <w:tcW w:w="10773" w:type="dxa"/>
            <w:gridSpan w:val="2"/>
            <w:shd w:val="clear" w:color="auto" w:fill="F2F2F2" w:themeFill="background1" w:themeFillShade="F2"/>
          </w:tcPr>
          <w:p w14:paraId="467CF007" w14:textId="651BA418" w:rsidR="003B6957" w:rsidRDefault="003B6957" w:rsidP="00E61E5D">
            <w:pPr>
              <w:pStyle w:val="Black"/>
            </w:pPr>
            <w:r>
              <w:t xml:space="preserve">Learners aspire to be valued by both their learning and cultural </w:t>
            </w:r>
            <w:r w:rsidRPr="008F4428">
              <w:t>communit</w:t>
            </w:r>
            <w:r>
              <w:t xml:space="preserve">ies. They are ambassadors for the college and effective advocates for their programme of study. </w:t>
            </w:r>
          </w:p>
        </w:tc>
      </w:tr>
      <w:tr w:rsidR="00DB695F" w:rsidRPr="008F4428" w14:paraId="0914EF73" w14:textId="77777777" w:rsidTr="00DB695F">
        <w:trPr>
          <w:trHeight w:val="699"/>
        </w:trPr>
        <w:tc>
          <w:tcPr>
            <w:tcW w:w="1659" w:type="dxa"/>
            <w:gridSpan w:val="2"/>
            <w:vMerge/>
            <w:shd w:val="clear" w:color="auto" w:fill="DBE5F1" w:themeFill="accent1" w:themeFillTint="33"/>
          </w:tcPr>
          <w:p w14:paraId="60926AAF" w14:textId="77777777" w:rsidR="00DB695F" w:rsidRPr="008F4428" w:rsidRDefault="00DB695F" w:rsidP="00DB695F">
            <w:pPr>
              <w:pStyle w:val="Black"/>
            </w:pPr>
          </w:p>
        </w:tc>
        <w:tc>
          <w:tcPr>
            <w:tcW w:w="2453" w:type="dxa"/>
            <w:shd w:val="clear" w:color="auto" w:fill="F2F2F2" w:themeFill="background1" w:themeFillShade="F2"/>
          </w:tcPr>
          <w:p w14:paraId="3F0D2482" w14:textId="77777777" w:rsidR="00DB695F" w:rsidRDefault="00DB695F" w:rsidP="00DB695F">
            <w:pPr>
              <w:pStyle w:val="Black"/>
            </w:pPr>
            <w:r>
              <w:t>3.3.5</w:t>
            </w:r>
          </w:p>
          <w:p w14:paraId="6C139C14" w14:textId="763E5415" w:rsidR="00DB695F" w:rsidRDefault="00DB695F" w:rsidP="00DB695F">
            <w:pPr>
              <w:pStyle w:val="Black"/>
            </w:pPr>
            <w:r w:rsidRPr="008F4428">
              <w:t>Resilience</w:t>
            </w:r>
          </w:p>
        </w:tc>
        <w:tc>
          <w:tcPr>
            <w:tcW w:w="10773" w:type="dxa"/>
            <w:gridSpan w:val="2"/>
            <w:shd w:val="clear" w:color="auto" w:fill="F2F2F2" w:themeFill="background1" w:themeFillShade="F2"/>
          </w:tcPr>
          <w:p w14:paraId="4757A9AB" w14:textId="502CA70F" w:rsidR="00DB695F" w:rsidRPr="00B05486" w:rsidRDefault="00DB695F" w:rsidP="00DB695F">
            <w:pPr>
              <w:pStyle w:val="Black"/>
            </w:pPr>
            <w:r w:rsidRPr="008F4428">
              <w:t>Learners are resilient, self-confident and consciously support each other, fostering a patient and inclusive environment.</w:t>
            </w:r>
            <w:r>
              <w:t xml:space="preserve"> </w:t>
            </w:r>
            <w:r w:rsidRPr="000B0DAE">
              <w:t>Learners’ recognise the ‘plateaus’ typical of any learning journey and use effective strategies to overcome them.</w:t>
            </w:r>
            <w:r>
              <w:t xml:space="preserve"> They achieve all of their milestones and goals, never getting behind with their work. Staff use coaching and, where necessary, constructive feedback well so that learners are not daunted by the onward journey.</w:t>
            </w:r>
          </w:p>
        </w:tc>
      </w:tr>
      <w:tr w:rsidR="00DB695F" w:rsidRPr="008F4428" w14:paraId="1112A36A" w14:textId="77777777" w:rsidTr="003F1740">
        <w:trPr>
          <w:trHeight w:val="1001"/>
        </w:trPr>
        <w:tc>
          <w:tcPr>
            <w:tcW w:w="1659" w:type="dxa"/>
            <w:gridSpan w:val="2"/>
            <w:vMerge/>
            <w:shd w:val="clear" w:color="auto" w:fill="DBE5F1" w:themeFill="accent1" w:themeFillTint="33"/>
          </w:tcPr>
          <w:p w14:paraId="3F2C41FA" w14:textId="77777777" w:rsidR="00DB695F" w:rsidRPr="008F4428" w:rsidRDefault="00DB695F" w:rsidP="00DB695F">
            <w:pPr>
              <w:pStyle w:val="Black"/>
            </w:pPr>
          </w:p>
        </w:tc>
        <w:tc>
          <w:tcPr>
            <w:tcW w:w="2453" w:type="dxa"/>
            <w:shd w:val="clear" w:color="auto" w:fill="F2F2F2" w:themeFill="background1" w:themeFillShade="F2"/>
          </w:tcPr>
          <w:p w14:paraId="49DFB1FB" w14:textId="643CDDAF" w:rsidR="00DB695F" w:rsidRDefault="00DB695F" w:rsidP="00DB695F">
            <w:pPr>
              <w:pStyle w:val="Black"/>
            </w:pPr>
            <w:r>
              <w:t>3.3.6</w:t>
            </w:r>
          </w:p>
          <w:p w14:paraId="1FEBF082" w14:textId="3F0920DA" w:rsidR="00DB695F" w:rsidRDefault="00DB695F" w:rsidP="00DB695F">
            <w:pPr>
              <w:pStyle w:val="Black"/>
            </w:pPr>
            <w:r>
              <w:t>Environment</w:t>
            </w:r>
          </w:p>
        </w:tc>
        <w:tc>
          <w:tcPr>
            <w:tcW w:w="10773" w:type="dxa"/>
            <w:gridSpan w:val="2"/>
            <w:shd w:val="clear" w:color="auto" w:fill="F2F2F2" w:themeFill="background1" w:themeFillShade="F2"/>
          </w:tcPr>
          <w:p w14:paraId="39767927" w14:textId="51E374C9" w:rsidR="00DB695F" w:rsidRDefault="00DB695F" w:rsidP="00DB695F">
            <w:pPr>
              <w:pStyle w:val="Black"/>
            </w:pPr>
            <w:r w:rsidRPr="00B05486">
              <w:t>Learning spaces are safe, attractive and comfortable and foster both collaborative and independent learning. Learners are safe inside the provider’s premises and online</w:t>
            </w:r>
            <w:r w:rsidR="001B3BD3">
              <w:t xml:space="preserve"> </w:t>
            </w:r>
            <w:r w:rsidR="001B3BD3" w:rsidRPr="001B3BD3">
              <w:t>where high standards of behaviour are demonstrated both inside and outside of the classroom</w:t>
            </w:r>
            <w:r w:rsidR="001B3BD3">
              <w:t xml:space="preserve">. </w:t>
            </w:r>
          </w:p>
        </w:tc>
      </w:tr>
      <w:tr w:rsidR="00DB695F" w:rsidRPr="008F4428" w14:paraId="47B16BFD" w14:textId="77777777" w:rsidTr="009863DD">
        <w:trPr>
          <w:trHeight w:val="326"/>
        </w:trPr>
        <w:tc>
          <w:tcPr>
            <w:tcW w:w="1659" w:type="dxa"/>
            <w:gridSpan w:val="2"/>
            <w:vMerge/>
            <w:shd w:val="clear" w:color="auto" w:fill="DBE5F1" w:themeFill="accent1" w:themeFillTint="33"/>
          </w:tcPr>
          <w:p w14:paraId="53E1834C" w14:textId="77777777" w:rsidR="00DB695F" w:rsidRPr="008F4428" w:rsidRDefault="00DB695F" w:rsidP="00DB695F">
            <w:pPr>
              <w:pStyle w:val="Black"/>
            </w:pPr>
          </w:p>
        </w:tc>
        <w:tc>
          <w:tcPr>
            <w:tcW w:w="2453" w:type="dxa"/>
            <w:shd w:val="clear" w:color="auto" w:fill="F2F2F2" w:themeFill="background1" w:themeFillShade="F2"/>
          </w:tcPr>
          <w:p w14:paraId="7FAC1E04" w14:textId="77777777" w:rsidR="00DB695F" w:rsidRDefault="00DB695F" w:rsidP="00024F56">
            <w:pPr>
              <w:pStyle w:val="Black"/>
            </w:pPr>
            <w:r>
              <w:t>3.3.7</w:t>
            </w:r>
          </w:p>
          <w:p w14:paraId="0D76E922" w14:textId="06361E87" w:rsidR="00DB695F" w:rsidRDefault="00DB695F" w:rsidP="00024F56">
            <w:pPr>
              <w:pStyle w:val="Black"/>
            </w:pPr>
            <w:r>
              <w:t>Sustainable development</w:t>
            </w:r>
          </w:p>
        </w:tc>
        <w:tc>
          <w:tcPr>
            <w:tcW w:w="10773" w:type="dxa"/>
            <w:gridSpan w:val="2"/>
            <w:shd w:val="clear" w:color="auto" w:fill="F2F2F2" w:themeFill="background1" w:themeFillShade="F2"/>
          </w:tcPr>
          <w:p w14:paraId="25DA6DC2" w14:textId="524502F7" w:rsidR="00DB695F" w:rsidRDefault="00DB695F" w:rsidP="00024F56">
            <w:pPr>
              <w:pStyle w:val="Black"/>
            </w:pPr>
            <w:r w:rsidRPr="00024F56">
              <w:t>Learners embrace the underlying principles of environmental sustainability (</w:t>
            </w:r>
            <w:proofErr w:type="spellStart"/>
            <w:r w:rsidRPr="00024F56">
              <w:t>eg.</w:t>
            </w:r>
            <w:proofErr w:type="spellEnd"/>
            <w:r w:rsidRPr="00024F56">
              <w:t xml:space="preserve"> UK Net Zero Strategy, UK gov strategies to reduce single use plastics) and demonstrate understanding and competence with current and (where relevant) future sustainability practices relevant to both their daily lives and their area of vocational study.</w:t>
            </w:r>
          </w:p>
        </w:tc>
      </w:tr>
      <w:tr w:rsidR="00DB695F" w:rsidRPr="008F4428" w14:paraId="0D7C696E" w14:textId="77777777" w:rsidTr="009863DD">
        <w:trPr>
          <w:trHeight w:val="326"/>
        </w:trPr>
        <w:tc>
          <w:tcPr>
            <w:tcW w:w="1659" w:type="dxa"/>
            <w:gridSpan w:val="2"/>
            <w:vMerge w:val="restart"/>
            <w:shd w:val="clear" w:color="auto" w:fill="DBE5F1" w:themeFill="accent1" w:themeFillTint="33"/>
          </w:tcPr>
          <w:p w14:paraId="5DC5E982" w14:textId="77777777" w:rsidR="00DB695F" w:rsidRDefault="00DB695F" w:rsidP="00DB695F">
            <w:pPr>
              <w:pStyle w:val="Black"/>
            </w:pPr>
            <w:r>
              <w:t>3.4</w:t>
            </w:r>
          </w:p>
          <w:p w14:paraId="0E7A03B6" w14:textId="22637D2D" w:rsidR="00DB695F" w:rsidRPr="008F4428" w:rsidRDefault="00DB695F" w:rsidP="00DB695F">
            <w:pPr>
              <w:pStyle w:val="Black"/>
            </w:pPr>
            <w:r>
              <w:t>Employability</w:t>
            </w:r>
          </w:p>
        </w:tc>
        <w:tc>
          <w:tcPr>
            <w:tcW w:w="2453" w:type="dxa"/>
            <w:shd w:val="clear" w:color="auto" w:fill="F2F2F2" w:themeFill="background1" w:themeFillShade="F2"/>
          </w:tcPr>
          <w:p w14:paraId="4632A2A5" w14:textId="77777777" w:rsidR="00DB695F" w:rsidRDefault="00DB695F" w:rsidP="004B61CA">
            <w:pPr>
              <w:pStyle w:val="Black"/>
            </w:pPr>
            <w:r>
              <w:t>3.4.1</w:t>
            </w:r>
          </w:p>
          <w:p w14:paraId="79ED037A" w14:textId="2572F520" w:rsidR="00DB695F" w:rsidRDefault="00DB695F" w:rsidP="004B61CA">
            <w:pPr>
              <w:pStyle w:val="Black"/>
            </w:pPr>
            <w:r>
              <w:t>Personal promotion</w:t>
            </w:r>
          </w:p>
        </w:tc>
        <w:tc>
          <w:tcPr>
            <w:tcW w:w="10773" w:type="dxa"/>
            <w:gridSpan w:val="2"/>
            <w:shd w:val="clear" w:color="auto" w:fill="F2F2F2" w:themeFill="background1" w:themeFillShade="F2"/>
          </w:tcPr>
          <w:p w14:paraId="14AB5F87" w14:textId="36F7DF3C" w:rsidR="00DB695F" w:rsidRDefault="00DB695F" w:rsidP="004B61CA">
            <w:pPr>
              <w:pStyle w:val="Black"/>
            </w:pPr>
            <w:r>
              <w:t xml:space="preserve">Learners have excellent inter-personal skills and present themselves effectively, persuading and influencing others with confidence. They understand their own unique attributes and sell themselves effectively. </w:t>
            </w:r>
          </w:p>
        </w:tc>
      </w:tr>
      <w:tr w:rsidR="00DB695F" w:rsidRPr="008F4428" w14:paraId="618857F7" w14:textId="77777777" w:rsidTr="009863DD">
        <w:trPr>
          <w:trHeight w:val="326"/>
        </w:trPr>
        <w:tc>
          <w:tcPr>
            <w:tcW w:w="1659" w:type="dxa"/>
            <w:gridSpan w:val="2"/>
            <w:vMerge/>
            <w:shd w:val="clear" w:color="auto" w:fill="DBE5F1" w:themeFill="accent1" w:themeFillTint="33"/>
          </w:tcPr>
          <w:p w14:paraId="5F9101AE" w14:textId="77777777" w:rsidR="00DB695F" w:rsidRPr="008F4428" w:rsidRDefault="00DB695F" w:rsidP="00DB695F">
            <w:pPr>
              <w:pStyle w:val="Black"/>
            </w:pPr>
          </w:p>
        </w:tc>
        <w:tc>
          <w:tcPr>
            <w:tcW w:w="2453" w:type="dxa"/>
            <w:shd w:val="clear" w:color="auto" w:fill="F2F2F2" w:themeFill="background1" w:themeFillShade="F2"/>
          </w:tcPr>
          <w:p w14:paraId="79FFF56A" w14:textId="77777777" w:rsidR="00DB695F" w:rsidRDefault="00DB695F" w:rsidP="00DB695F">
            <w:pPr>
              <w:pStyle w:val="Black"/>
            </w:pPr>
            <w:r>
              <w:t>3.4.2</w:t>
            </w:r>
          </w:p>
          <w:p w14:paraId="58FA616D" w14:textId="5D0DEB12" w:rsidR="00DB695F" w:rsidRDefault="00DB695F" w:rsidP="00DB695F">
            <w:pPr>
              <w:pStyle w:val="Black"/>
            </w:pPr>
            <w:r>
              <w:t>Professional attire</w:t>
            </w:r>
          </w:p>
        </w:tc>
        <w:tc>
          <w:tcPr>
            <w:tcW w:w="10773" w:type="dxa"/>
            <w:gridSpan w:val="2"/>
            <w:shd w:val="clear" w:color="auto" w:fill="F2F2F2" w:themeFill="background1" w:themeFillShade="F2"/>
          </w:tcPr>
          <w:p w14:paraId="18787E0C" w14:textId="2D0F98B3" w:rsidR="00DB695F" w:rsidRDefault="00DB695F" w:rsidP="00DB695F">
            <w:pPr>
              <w:pStyle w:val="Black"/>
            </w:pPr>
            <w:r>
              <w:t>Where appropriate, learners take pride in wearing the uniform or attire associate</w:t>
            </w:r>
            <w:r w:rsidR="00D22F31">
              <w:t>d</w:t>
            </w:r>
            <w:r>
              <w:t xml:space="preserve"> with their discipline. Learners value how their clothing builds a sense of community and shared experience, while keeping them safe when in a work-place environment. </w:t>
            </w:r>
          </w:p>
        </w:tc>
      </w:tr>
      <w:tr w:rsidR="00DB695F" w:rsidRPr="008F4428" w14:paraId="68EE3250" w14:textId="77777777" w:rsidTr="009863DD">
        <w:trPr>
          <w:trHeight w:val="326"/>
        </w:trPr>
        <w:tc>
          <w:tcPr>
            <w:tcW w:w="1659" w:type="dxa"/>
            <w:gridSpan w:val="2"/>
            <w:vMerge/>
            <w:shd w:val="clear" w:color="auto" w:fill="DBE5F1" w:themeFill="accent1" w:themeFillTint="33"/>
          </w:tcPr>
          <w:p w14:paraId="1A4DCF20" w14:textId="77777777" w:rsidR="00DB695F" w:rsidRPr="008F4428" w:rsidRDefault="00DB695F" w:rsidP="00DB695F">
            <w:pPr>
              <w:pStyle w:val="Black"/>
            </w:pPr>
          </w:p>
        </w:tc>
        <w:tc>
          <w:tcPr>
            <w:tcW w:w="2453" w:type="dxa"/>
            <w:shd w:val="clear" w:color="auto" w:fill="F2F2F2" w:themeFill="background1" w:themeFillShade="F2"/>
          </w:tcPr>
          <w:p w14:paraId="3C739A36" w14:textId="77777777" w:rsidR="00DB695F" w:rsidRDefault="00DB695F" w:rsidP="00DB695F">
            <w:pPr>
              <w:pStyle w:val="Black"/>
            </w:pPr>
            <w:r>
              <w:t>3.4.3</w:t>
            </w:r>
          </w:p>
          <w:p w14:paraId="360FC5F5" w14:textId="6A34C3D9" w:rsidR="00DB695F" w:rsidRDefault="00DB695F" w:rsidP="00DB695F">
            <w:pPr>
              <w:pStyle w:val="Black"/>
            </w:pPr>
            <w:r>
              <w:t>W</w:t>
            </w:r>
            <w:r w:rsidRPr="008F4428">
              <w:t>ork environment</w:t>
            </w:r>
          </w:p>
        </w:tc>
        <w:tc>
          <w:tcPr>
            <w:tcW w:w="10773" w:type="dxa"/>
            <w:gridSpan w:val="2"/>
            <w:shd w:val="clear" w:color="auto" w:fill="F2F2F2" w:themeFill="background1" w:themeFillShade="F2"/>
          </w:tcPr>
          <w:p w14:paraId="162A1ED9" w14:textId="7A571CD0" w:rsidR="00DB695F" w:rsidRDefault="00DB695F" w:rsidP="00DB695F">
            <w:pPr>
              <w:pStyle w:val="Black"/>
            </w:pPr>
            <w:r>
              <w:t xml:space="preserve">In preparation for real or simulated work experience, learners develop their awareness of the contributions they can make to employers and articulate </w:t>
            </w:r>
            <w:r w:rsidR="004B61CA">
              <w:t xml:space="preserve">well </w:t>
            </w:r>
            <w:r>
              <w:t xml:space="preserve">how work experience will help inform their progression decisions and opportunities. </w:t>
            </w:r>
          </w:p>
        </w:tc>
      </w:tr>
      <w:tr w:rsidR="00DB695F" w:rsidRPr="008F4428" w14:paraId="718BAB07" w14:textId="77777777" w:rsidTr="009863DD">
        <w:trPr>
          <w:trHeight w:val="326"/>
        </w:trPr>
        <w:tc>
          <w:tcPr>
            <w:tcW w:w="1659" w:type="dxa"/>
            <w:gridSpan w:val="2"/>
            <w:vMerge/>
            <w:shd w:val="clear" w:color="auto" w:fill="DBE5F1" w:themeFill="accent1" w:themeFillTint="33"/>
          </w:tcPr>
          <w:p w14:paraId="20F9F706" w14:textId="77777777" w:rsidR="00DB695F" w:rsidRPr="008F4428" w:rsidRDefault="00DB695F" w:rsidP="00DB695F">
            <w:pPr>
              <w:pStyle w:val="Black"/>
            </w:pPr>
          </w:p>
        </w:tc>
        <w:tc>
          <w:tcPr>
            <w:tcW w:w="2453" w:type="dxa"/>
            <w:shd w:val="clear" w:color="auto" w:fill="F2F2F2" w:themeFill="background1" w:themeFillShade="F2"/>
          </w:tcPr>
          <w:p w14:paraId="308655DB" w14:textId="3C8E9324" w:rsidR="00DB695F" w:rsidRDefault="00DB695F" w:rsidP="00626EC7">
            <w:pPr>
              <w:pStyle w:val="Black"/>
            </w:pPr>
            <w:r>
              <w:t>3.4.</w:t>
            </w:r>
            <w:r w:rsidR="008C72E2">
              <w:t>4</w:t>
            </w:r>
            <w:r>
              <w:t xml:space="preserve"> Work experience</w:t>
            </w:r>
            <w:r w:rsidR="00626EC7">
              <w:t xml:space="preserve"> &amp; volunteering</w:t>
            </w:r>
          </w:p>
        </w:tc>
        <w:tc>
          <w:tcPr>
            <w:tcW w:w="10773" w:type="dxa"/>
            <w:gridSpan w:val="2"/>
            <w:shd w:val="clear" w:color="auto" w:fill="F2F2F2" w:themeFill="background1" w:themeFillShade="F2"/>
          </w:tcPr>
          <w:p w14:paraId="2C9880A3" w14:textId="2E6E5BAB" w:rsidR="00DB695F" w:rsidRDefault="00626EC7" w:rsidP="00626EC7">
            <w:pPr>
              <w:pStyle w:val="Black"/>
            </w:pPr>
            <w:r>
              <w:t>Learners are proactive in seeking learning experiences outside of college. They</w:t>
            </w:r>
            <w:r w:rsidR="00DB695F">
              <w:t xml:space="preserve"> plan, and capitalise effectively on, work-related </w:t>
            </w:r>
            <w:r>
              <w:t xml:space="preserve">and/or volunteering </w:t>
            </w:r>
            <w:r w:rsidR="00DB695F">
              <w:t>opportunities.</w:t>
            </w:r>
            <w:r w:rsidR="001B3BD3">
              <w:t xml:space="preserve"> </w:t>
            </w:r>
            <w:r w:rsidR="001B3BD3" w:rsidRPr="001B3BD3">
              <w:t xml:space="preserve">Learners drive their placements. They plan and prepare </w:t>
            </w:r>
            <w:r w:rsidR="001B3BD3">
              <w:t xml:space="preserve">effectively </w:t>
            </w:r>
            <w:r w:rsidR="001B3BD3" w:rsidRPr="001B3BD3">
              <w:t xml:space="preserve">for observations and tutor visits </w:t>
            </w:r>
            <w:r w:rsidR="001B3BD3">
              <w:t>and</w:t>
            </w:r>
            <w:r w:rsidR="001B3BD3" w:rsidRPr="001B3BD3">
              <w:t xml:space="preserve"> showcase their skills in the workplace</w:t>
            </w:r>
            <w:r>
              <w:t xml:space="preserve"> and/or volunteering setting</w:t>
            </w:r>
            <w:r w:rsidR="001B3BD3">
              <w:t>.</w:t>
            </w:r>
            <w:r>
              <w:t xml:space="preserve"> </w:t>
            </w:r>
            <w:r w:rsidR="00E41339">
              <w:t xml:space="preserve">Learners’ understanding of British Values enables them to make an informed judgement about the effectiveness of their work experience and/or volunteering setting. </w:t>
            </w:r>
          </w:p>
        </w:tc>
      </w:tr>
      <w:tr w:rsidR="00DB695F" w:rsidRPr="008F4428" w14:paraId="3034F3AC" w14:textId="77777777" w:rsidTr="009863DD">
        <w:trPr>
          <w:trHeight w:val="326"/>
        </w:trPr>
        <w:tc>
          <w:tcPr>
            <w:tcW w:w="1659" w:type="dxa"/>
            <w:gridSpan w:val="2"/>
            <w:vMerge/>
            <w:shd w:val="clear" w:color="auto" w:fill="DBE5F1" w:themeFill="accent1" w:themeFillTint="33"/>
          </w:tcPr>
          <w:p w14:paraId="3E23A452" w14:textId="77777777" w:rsidR="00DB695F" w:rsidRPr="008F4428" w:rsidRDefault="00DB695F" w:rsidP="00DB695F">
            <w:pPr>
              <w:pStyle w:val="Black"/>
            </w:pPr>
          </w:p>
        </w:tc>
        <w:tc>
          <w:tcPr>
            <w:tcW w:w="2453" w:type="dxa"/>
            <w:shd w:val="clear" w:color="auto" w:fill="F2F2F2" w:themeFill="background1" w:themeFillShade="F2"/>
          </w:tcPr>
          <w:p w14:paraId="246F4D73" w14:textId="1EB13A3F" w:rsidR="00DB695F" w:rsidRDefault="00DB695F" w:rsidP="00024F56">
            <w:pPr>
              <w:pStyle w:val="Black"/>
            </w:pPr>
            <w:r>
              <w:t>3.4.</w:t>
            </w:r>
            <w:r w:rsidR="008C72E2">
              <w:t>5</w:t>
            </w:r>
          </w:p>
          <w:p w14:paraId="7863C5E6" w14:textId="55620FFC" w:rsidR="00DB695F" w:rsidRDefault="00DB695F" w:rsidP="00024F56">
            <w:pPr>
              <w:pStyle w:val="Black"/>
            </w:pPr>
            <w:r>
              <w:t>Numeracy</w:t>
            </w:r>
          </w:p>
        </w:tc>
        <w:tc>
          <w:tcPr>
            <w:tcW w:w="10773" w:type="dxa"/>
            <w:gridSpan w:val="2"/>
            <w:shd w:val="clear" w:color="auto" w:fill="F2F2F2" w:themeFill="background1" w:themeFillShade="F2"/>
          </w:tcPr>
          <w:p w14:paraId="26AC047D" w14:textId="54C562E3" w:rsidR="00DB695F" w:rsidRDefault="00DB695F" w:rsidP="00024F56">
            <w:pPr>
              <w:pStyle w:val="Black"/>
            </w:pPr>
            <w:r w:rsidRPr="00C53916">
              <w:t>When working or solving problems within their vocational subjects, learners use their mathematical ‘toolkit’ of skills to move forward efficiently.</w:t>
            </w:r>
            <w:r>
              <w:t xml:space="preserve"> </w:t>
            </w:r>
            <w:r w:rsidRPr="00C53916">
              <w:t>Learners’ understanding of the relevance to everyday life of their maths ‘toolkit’ enables them to enjoy the development of their mathematical skills.</w:t>
            </w:r>
          </w:p>
        </w:tc>
      </w:tr>
    </w:tbl>
    <w:p w14:paraId="747BFA32" w14:textId="77777777" w:rsidR="00AB4F05" w:rsidRDefault="00AB4F05">
      <w:r>
        <w:br w:type="page"/>
      </w:r>
    </w:p>
    <w:tbl>
      <w:tblPr>
        <w:tblStyle w:val="TableGrid1"/>
        <w:tblW w:w="14885" w:type="dxa"/>
        <w:tblInd w:w="-431" w:type="dxa"/>
        <w:tblLook w:val="04A0" w:firstRow="1" w:lastRow="0" w:firstColumn="1" w:lastColumn="0" w:noHBand="0" w:noVBand="1"/>
      </w:tblPr>
      <w:tblGrid>
        <w:gridCol w:w="1659"/>
        <w:gridCol w:w="2453"/>
        <w:gridCol w:w="10773"/>
      </w:tblGrid>
      <w:tr w:rsidR="00DB695F" w:rsidRPr="008F4428" w14:paraId="49DD4FD6" w14:textId="77777777" w:rsidTr="00AB4F05">
        <w:trPr>
          <w:trHeight w:val="326"/>
        </w:trPr>
        <w:tc>
          <w:tcPr>
            <w:tcW w:w="1659" w:type="dxa"/>
            <w:vMerge w:val="restart"/>
            <w:shd w:val="clear" w:color="auto" w:fill="DBE5F1" w:themeFill="accent1" w:themeFillTint="33"/>
          </w:tcPr>
          <w:p w14:paraId="43D7C2F9" w14:textId="49F91A8A" w:rsidR="00DB695F" w:rsidRDefault="00DB695F" w:rsidP="00DB695F">
            <w:pPr>
              <w:pStyle w:val="Black"/>
            </w:pPr>
            <w:r>
              <w:lastRenderedPageBreak/>
              <w:t>3.5</w:t>
            </w:r>
          </w:p>
          <w:p w14:paraId="41AC5C96" w14:textId="04DD9633" w:rsidR="00DB695F" w:rsidRPr="008F4428" w:rsidRDefault="00DB695F" w:rsidP="00DB695F">
            <w:pPr>
              <w:pStyle w:val="Black"/>
            </w:pPr>
            <w:r w:rsidRPr="008F4428">
              <w:t>Assessment</w:t>
            </w:r>
          </w:p>
        </w:tc>
        <w:tc>
          <w:tcPr>
            <w:tcW w:w="2453" w:type="dxa"/>
            <w:shd w:val="clear" w:color="auto" w:fill="F2F2F2" w:themeFill="background1" w:themeFillShade="F2"/>
          </w:tcPr>
          <w:p w14:paraId="23E7E1EA" w14:textId="77777777" w:rsidR="00DB695F" w:rsidRDefault="00DB695F" w:rsidP="00DB695F">
            <w:pPr>
              <w:pStyle w:val="Black"/>
            </w:pPr>
            <w:r>
              <w:t>3.5.1</w:t>
            </w:r>
          </w:p>
          <w:p w14:paraId="0C68B6A2" w14:textId="05B8F6FC" w:rsidR="00DB695F" w:rsidRPr="007E7E68" w:rsidRDefault="00DB695F" w:rsidP="00DB695F">
            <w:pPr>
              <w:pStyle w:val="Black"/>
            </w:pPr>
            <w:r w:rsidRPr="007E7E68">
              <w:t>Critical reflection</w:t>
            </w:r>
          </w:p>
        </w:tc>
        <w:tc>
          <w:tcPr>
            <w:tcW w:w="10773" w:type="dxa"/>
            <w:shd w:val="clear" w:color="auto" w:fill="F2F2F2" w:themeFill="background1" w:themeFillShade="F2"/>
          </w:tcPr>
          <w:p w14:paraId="28330F43" w14:textId="65523030" w:rsidR="00DB695F" w:rsidRPr="008F4428" w:rsidRDefault="00DB695F" w:rsidP="00DB695F">
            <w:pPr>
              <w:pStyle w:val="Black"/>
            </w:pPr>
            <w:r w:rsidRPr="008F4428">
              <w:t xml:space="preserve">Learners </w:t>
            </w:r>
            <w:r>
              <w:t>use their understanding of (where appropriate) high-grade assessment criteria, industry standards  and higher-order thinking skills to develop a clear understanding of 'quality'. Learners use this understanding to evaluate the effectiveness of their own work. Learners then use a range of effective 'editing' techniques to improve the quality of their work before submitting it for assessment.</w:t>
            </w:r>
          </w:p>
        </w:tc>
      </w:tr>
      <w:tr w:rsidR="00DB695F" w:rsidRPr="008F4428" w14:paraId="388794E8" w14:textId="77777777" w:rsidTr="00AB4F05">
        <w:trPr>
          <w:trHeight w:val="326"/>
        </w:trPr>
        <w:tc>
          <w:tcPr>
            <w:tcW w:w="1659" w:type="dxa"/>
            <w:vMerge/>
            <w:shd w:val="clear" w:color="auto" w:fill="DBE5F1" w:themeFill="accent1" w:themeFillTint="33"/>
          </w:tcPr>
          <w:p w14:paraId="7B1DE8A6" w14:textId="77777777" w:rsidR="00DB695F" w:rsidRPr="008F4428" w:rsidRDefault="00DB695F" w:rsidP="00DB695F">
            <w:pPr>
              <w:pStyle w:val="Black"/>
            </w:pPr>
          </w:p>
        </w:tc>
        <w:tc>
          <w:tcPr>
            <w:tcW w:w="2453" w:type="dxa"/>
            <w:shd w:val="clear" w:color="auto" w:fill="F2F2F2" w:themeFill="background1" w:themeFillShade="F2"/>
          </w:tcPr>
          <w:p w14:paraId="3E39AFAC" w14:textId="77777777" w:rsidR="00DB695F" w:rsidRDefault="00DB695F" w:rsidP="00DB695F">
            <w:pPr>
              <w:pStyle w:val="Black"/>
            </w:pPr>
            <w:r>
              <w:t>3.5.2</w:t>
            </w:r>
          </w:p>
          <w:p w14:paraId="457334DF" w14:textId="309AD066" w:rsidR="00DB695F" w:rsidRPr="007E7E68" w:rsidRDefault="00DB695F" w:rsidP="00DB695F">
            <w:pPr>
              <w:pStyle w:val="Black"/>
            </w:pPr>
            <w:r w:rsidRPr="008F4428">
              <w:t>Peer assessment</w:t>
            </w:r>
          </w:p>
        </w:tc>
        <w:tc>
          <w:tcPr>
            <w:tcW w:w="10773" w:type="dxa"/>
            <w:shd w:val="clear" w:color="auto" w:fill="F2F2F2" w:themeFill="background1" w:themeFillShade="F2"/>
          </w:tcPr>
          <w:p w14:paraId="6FC01F8F" w14:textId="67089665" w:rsidR="00DB695F" w:rsidRPr="008F4428" w:rsidRDefault="00DB695F" w:rsidP="00DB695F">
            <w:pPr>
              <w:pStyle w:val="Black"/>
            </w:pPr>
            <w:r w:rsidRPr="008F4428">
              <w:t>Learners</w:t>
            </w:r>
            <w:r>
              <w:t xml:space="preserve"> use peer assessment to</w:t>
            </w:r>
            <w:r w:rsidRPr="008F4428">
              <w:t xml:space="preserve"> </w:t>
            </w:r>
            <w:r>
              <w:t xml:space="preserve">refine their objective evaluation skills and gain deeper insights into alternative solutions to the learning challenges. Learners use excellent communication skills to ask questions of others and offer developmental ideas for consideration. </w:t>
            </w:r>
          </w:p>
        </w:tc>
      </w:tr>
      <w:tr w:rsidR="00DB695F" w:rsidRPr="008F4428" w14:paraId="4F1D9D0D" w14:textId="77777777" w:rsidTr="00AB4F05">
        <w:trPr>
          <w:trHeight w:val="326"/>
        </w:trPr>
        <w:tc>
          <w:tcPr>
            <w:tcW w:w="1659" w:type="dxa"/>
            <w:vMerge/>
            <w:shd w:val="clear" w:color="auto" w:fill="DBE5F1" w:themeFill="accent1" w:themeFillTint="33"/>
          </w:tcPr>
          <w:p w14:paraId="09716204" w14:textId="77777777" w:rsidR="00DB695F" w:rsidRPr="008F4428" w:rsidRDefault="00DB695F" w:rsidP="00DB695F">
            <w:pPr>
              <w:pStyle w:val="Black"/>
            </w:pPr>
          </w:p>
        </w:tc>
        <w:tc>
          <w:tcPr>
            <w:tcW w:w="2453" w:type="dxa"/>
            <w:shd w:val="clear" w:color="auto" w:fill="F2F2F2" w:themeFill="background1" w:themeFillShade="F2"/>
          </w:tcPr>
          <w:p w14:paraId="46BE79A6" w14:textId="77777777" w:rsidR="00DB695F" w:rsidRDefault="00DB695F" w:rsidP="00DB695F">
            <w:pPr>
              <w:pStyle w:val="Black"/>
            </w:pPr>
            <w:r>
              <w:t>3.5.3</w:t>
            </w:r>
          </w:p>
          <w:p w14:paraId="5DC9E607" w14:textId="614C49F7" w:rsidR="00DB695F" w:rsidRPr="008F4428" w:rsidRDefault="00DB695F" w:rsidP="00DB695F">
            <w:pPr>
              <w:pStyle w:val="Black"/>
            </w:pPr>
            <w:r w:rsidRPr="008F4428">
              <w:t>Formative assessment</w:t>
            </w:r>
          </w:p>
        </w:tc>
        <w:tc>
          <w:tcPr>
            <w:tcW w:w="10773" w:type="dxa"/>
            <w:shd w:val="clear" w:color="auto" w:fill="F2F2F2" w:themeFill="background1" w:themeFillShade="F2"/>
          </w:tcPr>
          <w:p w14:paraId="258A8BB0" w14:textId="07A343CF" w:rsidR="00DB695F" w:rsidRPr="008F4428" w:rsidRDefault="00DB695F" w:rsidP="00DB695F">
            <w:pPr>
              <w:pStyle w:val="Black"/>
            </w:pPr>
            <w:r>
              <w:t xml:space="preserve">Learners articulate well the progress they have made in a lesson, including the next, and/or remaining, learning challenges to be addressed. Learners' ability to understand how to learn well (metacognition) ensures they progress quickly in all lessons. </w:t>
            </w:r>
          </w:p>
        </w:tc>
      </w:tr>
      <w:tr w:rsidR="00DB695F" w:rsidRPr="008F4428" w14:paraId="391B924B" w14:textId="77777777" w:rsidTr="00AB4F05">
        <w:trPr>
          <w:trHeight w:val="326"/>
        </w:trPr>
        <w:tc>
          <w:tcPr>
            <w:tcW w:w="1659" w:type="dxa"/>
            <w:vMerge/>
            <w:shd w:val="clear" w:color="auto" w:fill="DBE5F1" w:themeFill="accent1" w:themeFillTint="33"/>
          </w:tcPr>
          <w:p w14:paraId="67F46A80" w14:textId="77777777" w:rsidR="00DB695F" w:rsidRPr="008F4428" w:rsidRDefault="00DB695F" w:rsidP="00DB695F">
            <w:pPr>
              <w:pStyle w:val="Black"/>
            </w:pPr>
          </w:p>
        </w:tc>
        <w:tc>
          <w:tcPr>
            <w:tcW w:w="2453" w:type="dxa"/>
            <w:shd w:val="clear" w:color="auto" w:fill="F2F2F2" w:themeFill="background1" w:themeFillShade="F2"/>
          </w:tcPr>
          <w:p w14:paraId="1961698A" w14:textId="77777777" w:rsidR="00DB695F" w:rsidRDefault="00DB695F" w:rsidP="00DB695F">
            <w:pPr>
              <w:pStyle w:val="Black"/>
            </w:pPr>
            <w:r>
              <w:t>3.5.4</w:t>
            </w:r>
          </w:p>
          <w:p w14:paraId="26A6AB29" w14:textId="6AC4C25D" w:rsidR="00DB695F" w:rsidRDefault="00DB695F" w:rsidP="00DB695F">
            <w:pPr>
              <w:pStyle w:val="Black"/>
            </w:pPr>
            <w:r w:rsidRPr="008F4428">
              <w:t>Progress monitoring</w:t>
            </w:r>
          </w:p>
        </w:tc>
        <w:tc>
          <w:tcPr>
            <w:tcW w:w="10773" w:type="dxa"/>
            <w:shd w:val="clear" w:color="auto" w:fill="F2F2F2" w:themeFill="background1" w:themeFillShade="F2"/>
          </w:tcPr>
          <w:p w14:paraId="630104A1" w14:textId="43E31DEE" w:rsidR="00DB695F" w:rsidRDefault="00DB695F" w:rsidP="00DB695F">
            <w:pPr>
              <w:pStyle w:val="Black"/>
            </w:pPr>
            <w:r w:rsidRPr="008F4428">
              <w:t xml:space="preserve">Learners </w:t>
            </w:r>
            <w:r>
              <w:t>use all available data to evaluate their progress. They describe clearly the barriers that have held them back and use this learning to mitigate any potential barriers that might make them underperform in the future. Learners are proud of their achievements.</w:t>
            </w:r>
          </w:p>
        </w:tc>
      </w:tr>
    </w:tbl>
    <w:p w14:paraId="61BA6C17" w14:textId="77777777" w:rsidR="00081853" w:rsidRDefault="00081853"/>
    <w:sectPr w:rsidR="00081853" w:rsidSect="00D60658">
      <w:headerReference w:type="default" r:id="rId9"/>
      <w:footerReference w:type="default" r:id="rId10"/>
      <w:headerReference w:type="first" r:id="rId11"/>
      <w:footerReference w:type="first" r:id="rId12"/>
      <w:pgSz w:w="16838" w:h="11906" w:orient="landscape"/>
      <w:pgMar w:top="1135" w:right="1276" w:bottom="1276" w:left="1276" w:header="425"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0E6A" w14:textId="77777777" w:rsidR="00294A92" w:rsidRDefault="00294A92" w:rsidP="000D5CB2">
      <w:r>
        <w:separator/>
      </w:r>
    </w:p>
  </w:endnote>
  <w:endnote w:type="continuationSeparator" w:id="0">
    <w:p w14:paraId="19A6F074" w14:textId="77777777" w:rsidR="00294A92" w:rsidRDefault="00294A92"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3B32" w14:textId="24A4E233" w:rsidR="00EB3AC3" w:rsidRPr="0041745F" w:rsidRDefault="00EB3AC3" w:rsidP="00D60658">
    <w:pPr>
      <w:pStyle w:val="Footer"/>
      <w:tabs>
        <w:tab w:val="clear" w:pos="9026"/>
      </w:tabs>
      <w:ind w:firstLine="2880"/>
      <w:jc w:val="right"/>
      <w:rPr>
        <w:sz w:val="14"/>
      </w:rPr>
    </w:pPr>
    <w:r w:rsidRPr="00D60658">
      <w:rPr>
        <w:noProof/>
        <w:sz w:val="14"/>
      </w:rPr>
      <w:drawing>
        <wp:anchor distT="0" distB="0" distL="114300" distR="114300" simplePos="0" relativeHeight="251675648" behindDoc="0" locked="0" layoutInCell="1" allowOverlap="1" wp14:anchorId="1BDF587C" wp14:editId="62523D4D">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D60658" w:rsidRPr="00D60658">
      <w:rPr>
        <w:sz w:val="14"/>
        <w:szCs w:val="12"/>
      </w:rPr>
      <w:t>Format</w:t>
    </w:r>
    <w:r w:rsidR="00D60658">
      <w:rPr>
        <w:sz w:val="12"/>
        <w:szCs w:val="12"/>
      </w:rPr>
      <w:t xml:space="preserve"> </w:t>
    </w:r>
    <w:r w:rsidRPr="0041745F">
      <w:rPr>
        <w:sz w:val="12"/>
        <w:szCs w:val="12"/>
      </w:rPr>
      <w:t>©</w:t>
    </w:r>
    <w:r w:rsidR="00F00E14">
      <w:rPr>
        <w:sz w:val="14"/>
      </w:rPr>
      <w:t xml:space="preserve"> Tony Davis 20</w:t>
    </w:r>
    <w:r w:rsidR="00D60658">
      <w:rPr>
        <w:sz w:val="14"/>
      </w:rPr>
      <w:t>11-</w:t>
    </w:r>
    <w:r w:rsidR="00F00E14">
      <w:rPr>
        <w:sz w:val="14"/>
      </w:rPr>
      <w:t>2</w:t>
    </w:r>
    <w:r w:rsidR="00D5544A">
      <w:rPr>
        <w:sz w:val="14"/>
      </w:rPr>
      <w:t>2</w:t>
    </w:r>
  </w:p>
  <w:p w14:paraId="6CB2B3EA" w14:textId="59A026A7" w:rsidR="001A5542" w:rsidRPr="00D60658" w:rsidRDefault="00000000" w:rsidP="00D60658">
    <w:pPr>
      <w:pStyle w:val="Footer"/>
      <w:tabs>
        <w:tab w:val="clear" w:pos="4513"/>
        <w:tab w:val="clear" w:pos="9026"/>
        <w:tab w:val="center" w:pos="6663"/>
      </w:tabs>
      <w:jc w:val="right"/>
      <w:rPr>
        <w:color w:val="0000FF" w:themeColor="hyperlink"/>
        <w:u w:val="single"/>
      </w:rPr>
    </w:pPr>
    <w:hyperlink r:id="rId2" w:history="1">
      <w:r w:rsidR="00EB3AC3" w:rsidRPr="0041745F">
        <w:rPr>
          <w:rStyle w:val="Hyperlink"/>
        </w:rPr>
        <w:t>www.ccqi.org.uk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3D64"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08068BEB" wp14:editId="7E325AC8">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385512CD"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32BF0469"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5FC5" w14:textId="77777777" w:rsidR="00294A92" w:rsidRDefault="00294A92" w:rsidP="000D5CB2">
      <w:r>
        <w:separator/>
      </w:r>
    </w:p>
  </w:footnote>
  <w:footnote w:type="continuationSeparator" w:id="0">
    <w:p w14:paraId="27D1BA5C" w14:textId="77777777" w:rsidR="00294A92" w:rsidRDefault="00294A92"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eastAsia="Times New Roman" w:hAnsi="Open Sans" w:cs="Times New Roman"/>
        <w:color w:val="7F7F7F" w:themeColor="background1" w:themeShade="7F"/>
        <w:spacing w:val="60"/>
        <w:sz w:val="20"/>
        <w:szCs w:val="24"/>
        <w:lang w:eastAsia="en-GB"/>
      </w:rPr>
      <w:id w:val="-1318336367"/>
      <w:docPartObj>
        <w:docPartGallery w:val="Page Numbers (Top of Page)"/>
        <w:docPartUnique/>
      </w:docPartObj>
    </w:sdtPr>
    <w:sdtContent>
      <w:p w14:paraId="521FF5FF" w14:textId="0DDAE310" w:rsidR="00D60658" w:rsidRPr="00BE5E1C" w:rsidRDefault="00D60658" w:rsidP="00C51739">
        <w:pPr>
          <w:ind w:right="-598"/>
          <w:rPr>
            <w:rFonts w:ascii="Open Sans" w:eastAsia="Times New Roman" w:hAnsi="Open Sans" w:cs="Times New Roman"/>
            <w:color w:val="7F7F7F" w:themeColor="background1" w:themeShade="7F"/>
            <w:spacing w:val="60"/>
            <w:sz w:val="20"/>
            <w:szCs w:val="24"/>
            <w:lang w:eastAsia="en-GB"/>
          </w:rPr>
        </w:pPr>
        <w:r w:rsidRPr="00BE5E1C">
          <w:rPr>
            <w:rFonts w:ascii="Open Sans" w:eastAsia="Times New Roman" w:hAnsi="Open Sans" w:cs="Times New Roman"/>
            <w:color w:val="7F7F7F" w:themeColor="background1" w:themeShade="7F"/>
            <w:spacing w:val="60"/>
            <w:sz w:val="20"/>
            <w:szCs w:val="24"/>
            <w:lang w:eastAsia="en-GB"/>
          </w:rPr>
          <w:t>Bolton College</w:t>
        </w:r>
        <w:r w:rsidRPr="00BE5E1C">
          <w:rPr>
            <w:rFonts w:ascii="Open Sans" w:eastAsia="Times New Roman" w:hAnsi="Open Sans" w:cs="Times New Roman"/>
            <w:color w:val="7F7F7F" w:themeColor="background1" w:themeShade="7F"/>
            <w:spacing w:val="60"/>
            <w:sz w:val="20"/>
            <w:szCs w:val="24"/>
            <w:lang w:eastAsia="en-GB"/>
          </w:rPr>
          <w:tab/>
        </w:r>
        <w:r w:rsidRPr="00BE5E1C">
          <w:rPr>
            <w:rFonts w:ascii="Open Sans" w:eastAsia="Times New Roman" w:hAnsi="Open Sans" w:cs="Times New Roman"/>
            <w:color w:val="7F7F7F" w:themeColor="background1" w:themeShade="7F"/>
            <w:spacing w:val="60"/>
            <w:sz w:val="20"/>
            <w:szCs w:val="24"/>
            <w:lang w:eastAsia="en-GB"/>
          </w:rPr>
          <w:tab/>
          <w:t>Quality Standard for Teaching, Learning &amp; Assessment</w:t>
        </w:r>
        <w:r w:rsidRPr="00BE5E1C">
          <w:rPr>
            <w:rFonts w:ascii="Open Sans" w:eastAsia="Times New Roman" w:hAnsi="Open Sans" w:cs="Times New Roman"/>
            <w:color w:val="7F7F7F" w:themeColor="background1" w:themeShade="7F"/>
            <w:spacing w:val="60"/>
            <w:sz w:val="20"/>
            <w:szCs w:val="24"/>
            <w:lang w:eastAsia="en-GB"/>
          </w:rPr>
          <w:tab/>
        </w:r>
        <w:r w:rsidR="00C51739">
          <w:rPr>
            <w:rFonts w:ascii="Open Sans" w:eastAsia="Times New Roman" w:hAnsi="Open Sans" w:cs="Times New Roman"/>
            <w:color w:val="7F7F7F" w:themeColor="background1" w:themeShade="7F"/>
            <w:spacing w:val="60"/>
            <w:sz w:val="20"/>
            <w:szCs w:val="24"/>
            <w:lang w:eastAsia="en-GB"/>
          </w:rPr>
          <w:tab/>
        </w:r>
        <w:r w:rsidRPr="00BE5E1C">
          <w:rPr>
            <w:rFonts w:ascii="Open Sans" w:eastAsia="Times New Roman" w:hAnsi="Open Sans" w:cs="Times New Roman"/>
            <w:color w:val="7F7F7F" w:themeColor="background1" w:themeShade="7F"/>
            <w:spacing w:val="60"/>
            <w:sz w:val="20"/>
            <w:szCs w:val="24"/>
            <w:lang w:eastAsia="en-GB"/>
          </w:rPr>
          <w:t xml:space="preserve">Page </w:t>
        </w:r>
        <w:r w:rsidRPr="00BE5E1C">
          <w:rPr>
            <w:rFonts w:ascii="Open Sans" w:eastAsia="Times New Roman" w:hAnsi="Open Sans" w:cs="Times New Roman"/>
            <w:color w:val="7F7F7F" w:themeColor="background1" w:themeShade="7F"/>
            <w:spacing w:val="60"/>
            <w:sz w:val="20"/>
            <w:szCs w:val="24"/>
            <w:lang w:eastAsia="en-GB"/>
          </w:rPr>
          <w:fldChar w:fldCharType="begin"/>
        </w:r>
        <w:r w:rsidRPr="00BE5E1C">
          <w:rPr>
            <w:rFonts w:ascii="Open Sans" w:eastAsia="Times New Roman" w:hAnsi="Open Sans" w:cs="Times New Roman"/>
            <w:color w:val="7F7F7F" w:themeColor="background1" w:themeShade="7F"/>
            <w:spacing w:val="60"/>
            <w:sz w:val="20"/>
            <w:szCs w:val="24"/>
            <w:lang w:eastAsia="en-GB"/>
          </w:rPr>
          <w:instrText xml:space="preserve"> PAGE </w:instrText>
        </w:r>
        <w:r w:rsidRPr="00BE5E1C">
          <w:rPr>
            <w:rFonts w:ascii="Open Sans" w:eastAsia="Times New Roman" w:hAnsi="Open Sans" w:cs="Times New Roman"/>
            <w:color w:val="7F7F7F" w:themeColor="background1" w:themeShade="7F"/>
            <w:spacing w:val="60"/>
            <w:sz w:val="20"/>
            <w:szCs w:val="24"/>
            <w:lang w:eastAsia="en-GB"/>
          </w:rPr>
          <w:fldChar w:fldCharType="separate"/>
        </w:r>
        <w:r w:rsidRPr="00BE5E1C">
          <w:rPr>
            <w:rFonts w:ascii="Open Sans" w:eastAsia="Times New Roman" w:hAnsi="Open Sans" w:cs="Times New Roman"/>
            <w:color w:val="7F7F7F" w:themeColor="background1" w:themeShade="7F"/>
            <w:spacing w:val="60"/>
            <w:sz w:val="20"/>
            <w:szCs w:val="24"/>
            <w:lang w:eastAsia="en-GB"/>
          </w:rPr>
          <w:t>2</w:t>
        </w:r>
        <w:r w:rsidRPr="00BE5E1C">
          <w:rPr>
            <w:rFonts w:ascii="Open Sans" w:eastAsia="Times New Roman" w:hAnsi="Open Sans" w:cs="Times New Roman"/>
            <w:color w:val="7F7F7F" w:themeColor="background1" w:themeShade="7F"/>
            <w:spacing w:val="60"/>
            <w:sz w:val="20"/>
            <w:szCs w:val="24"/>
            <w:lang w:eastAsia="en-GB"/>
          </w:rPr>
          <w:fldChar w:fldCharType="end"/>
        </w:r>
        <w:r w:rsidRPr="00BE5E1C">
          <w:rPr>
            <w:rFonts w:ascii="Open Sans" w:eastAsia="Times New Roman" w:hAnsi="Open Sans" w:cs="Times New Roman"/>
            <w:color w:val="7F7F7F" w:themeColor="background1" w:themeShade="7F"/>
            <w:spacing w:val="60"/>
            <w:sz w:val="20"/>
            <w:szCs w:val="24"/>
            <w:lang w:eastAsia="en-GB"/>
          </w:rPr>
          <w:t xml:space="preserve"> of </w:t>
        </w:r>
        <w:r w:rsidRPr="00BE5E1C">
          <w:rPr>
            <w:rFonts w:ascii="Open Sans" w:eastAsia="Times New Roman" w:hAnsi="Open Sans" w:cs="Times New Roman"/>
            <w:color w:val="7F7F7F" w:themeColor="background1" w:themeShade="7F"/>
            <w:spacing w:val="60"/>
            <w:sz w:val="20"/>
            <w:szCs w:val="24"/>
            <w:lang w:eastAsia="en-GB"/>
          </w:rPr>
          <w:fldChar w:fldCharType="begin"/>
        </w:r>
        <w:r w:rsidRPr="00BE5E1C">
          <w:rPr>
            <w:rFonts w:ascii="Open Sans" w:eastAsia="Times New Roman" w:hAnsi="Open Sans" w:cs="Times New Roman"/>
            <w:color w:val="7F7F7F" w:themeColor="background1" w:themeShade="7F"/>
            <w:spacing w:val="60"/>
            <w:sz w:val="20"/>
            <w:szCs w:val="24"/>
            <w:lang w:eastAsia="en-GB"/>
          </w:rPr>
          <w:instrText xml:space="preserve"> NUMPAGES  </w:instrText>
        </w:r>
        <w:r w:rsidRPr="00BE5E1C">
          <w:rPr>
            <w:rFonts w:ascii="Open Sans" w:eastAsia="Times New Roman" w:hAnsi="Open Sans" w:cs="Times New Roman"/>
            <w:color w:val="7F7F7F" w:themeColor="background1" w:themeShade="7F"/>
            <w:spacing w:val="60"/>
            <w:sz w:val="20"/>
            <w:szCs w:val="24"/>
            <w:lang w:eastAsia="en-GB"/>
          </w:rPr>
          <w:fldChar w:fldCharType="separate"/>
        </w:r>
        <w:r w:rsidRPr="00BE5E1C">
          <w:rPr>
            <w:rFonts w:ascii="Open Sans" w:eastAsia="Times New Roman" w:hAnsi="Open Sans" w:cs="Times New Roman"/>
            <w:color w:val="7F7F7F" w:themeColor="background1" w:themeShade="7F"/>
            <w:spacing w:val="60"/>
            <w:sz w:val="20"/>
            <w:szCs w:val="24"/>
            <w:lang w:eastAsia="en-GB"/>
          </w:rPr>
          <w:t>2</w:t>
        </w:r>
        <w:r w:rsidRPr="00BE5E1C">
          <w:rPr>
            <w:rFonts w:ascii="Open Sans" w:eastAsia="Times New Roman" w:hAnsi="Open Sans" w:cs="Times New Roman"/>
            <w:color w:val="7F7F7F" w:themeColor="background1" w:themeShade="7F"/>
            <w:spacing w:val="60"/>
            <w:sz w:val="20"/>
            <w:szCs w:val="24"/>
            <w:lang w:eastAsia="en-GB"/>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Content>
      <w:p w14:paraId="713BE4B9"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21C28BFD"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3E58"/>
    <w:multiLevelType w:val="hybridMultilevel"/>
    <w:tmpl w:val="E752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176887">
    <w:abstractNumId w:val="1"/>
  </w:num>
  <w:num w:numId="2" w16cid:durableId="18868733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28"/>
    <w:rsid w:val="0000084E"/>
    <w:rsid w:val="000021C0"/>
    <w:rsid w:val="0000269A"/>
    <w:rsid w:val="000066ED"/>
    <w:rsid w:val="00015C36"/>
    <w:rsid w:val="00024F56"/>
    <w:rsid w:val="000250F7"/>
    <w:rsid w:val="0002525F"/>
    <w:rsid w:val="00025A05"/>
    <w:rsid w:val="00026700"/>
    <w:rsid w:val="00026CD9"/>
    <w:rsid w:val="0004481B"/>
    <w:rsid w:val="00051BE8"/>
    <w:rsid w:val="000540B8"/>
    <w:rsid w:val="000817CF"/>
    <w:rsid w:val="00081853"/>
    <w:rsid w:val="000821C8"/>
    <w:rsid w:val="00093B12"/>
    <w:rsid w:val="000A6C54"/>
    <w:rsid w:val="000B4191"/>
    <w:rsid w:val="000B4E2A"/>
    <w:rsid w:val="000B6DC4"/>
    <w:rsid w:val="000C2F4C"/>
    <w:rsid w:val="000D0760"/>
    <w:rsid w:val="000D0F33"/>
    <w:rsid w:val="000D1C52"/>
    <w:rsid w:val="000D2362"/>
    <w:rsid w:val="000D5CB2"/>
    <w:rsid w:val="000E1F7F"/>
    <w:rsid w:val="000E27BC"/>
    <w:rsid w:val="000F1535"/>
    <w:rsid w:val="000F1FDD"/>
    <w:rsid w:val="000F25A3"/>
    <w:rsid w:val="000F7788"/>
    <w:rsid w:val="0010414B"/>
    <w:rsid w:val="0010537A"/>
    <w:rsid w:val="001067DD"/>
    <w:rsid w:val="001076CF"/>
    <w:rsid w:val="00111B90"/>
    <w:rsid w:val="00113673"/>
    <w:rsid w:val="001152CB"/>
    <w:rsid w:val="00123594"/>
    <w:rsid w:val="0012443F"/>
    <w:rsid w:val="00126ED4"/>
    <w:rsid w:val="0013032A"/>
    <w:rsid w:val="00132CDE"/>
    <w:rsid w:val="00152D66"/>
    <w:rsid w:val="00175107"/>
    <w:rsid w:val="001756A5"/>
    <w:rsid w:val="001761BA"/>
    <w:rsid w:val="001836AD"/>
    <w:rsid w:val="001864D9"/>
    <w:rsid w:val="001943A6"/>
    <w:rsid w:val="001A2770"/>
    <w:rsid w:val="001A48ED"/>
    <w:rsid w:val="001A50D3"/>
    <w:rsid w:val="001A5542"/>
    <w:rsid w:val="001A6864"/>
    <w:rsid w:val="001A7D19"/>
    <w:rsid w:val="001B3BD3"/>
    <w:rsid w:val="001C418E"/>
    <w:rsid w:val="001C72A0"/>
    <w:rsid w:val="001D3A96"/>
    <w:rsid w:val="001E4160"/>
    <w:rsid w:val="001E6BC6"/>
    <w:rsid w:val="001F1787"/>
    <w:rsid w:val="00207447"/>
    <w:rsid w:val="00216E2B"/>
    <w:rsid w:val="0022393E"/>
    <w:rsid w:val="002244F1"/>
    <w:rsid w:val="002318F2"/>
    <w:rsid w:val="0023682A"/>
    <w:rsid w:val="0023780A"/>
    <w:rsid w:val="0024016B"/>
    <w:rsid w:val="002451C5"/>
    <w:rsid w:val="002525D9"/>
    <w:rsid w:val="00263FFA"/>
    <w:rsid w:val="00267309"/>
    <w:rsid w:val="002809D9"/>
    <w:rsid w:val="00281DBB"/>
    <w:rsid w:val="00283CD4"/>
    <w:rsid w:val="00285A62"/>
    <w:rsid w:val="00294A92"/>
    <w:rsid w:val="002A4001"/>
    <w:rsid w:val="002B2751"/>
    <w:rsid w:val="002B4F10"/>
    <w:rsid w:val="002C11FE"/>
    <w:rsid w:val="002C2C98"/>
    <w:rsid w:val="002E31D0"/>
    <w:rsid w:val="002F7D5B"/>
    <w:rsid w:val="002F7F49"/>
    <w:rsid w:val="00301733"/>
    <w:rsid w:val="003152B0"/>
    <w:rsid w:val="00317FA7"/>
    <w:rsid w:val="003210AB"/>
    <w:rsid w:val="00323840"/>
    <w:rsid w:val="003245A5"/>
    <w:rsid w:val="00330CFC"/>
    <w:rsid w:val="00337EED"/>
    <w:rsid w:val="0034058E"/>
    <w:rsid w:val="00350805"/>
    <w:rsid w:val="00361140"/>
    <w:rsid w:val="0036649F"/>
    <w:rsid w:val="003707D6"/>
    <w:rsid w:val="00373505"/>
    <w:rsid w:val="003829BB"/>
    <w:rsid w:val="00382D86"/>
    <w:rsid w:val="0038334F"/>
    <w:rsid w:val="003947D3"/>
    <w:rsid w:val="003A019C"/>
    <w:rsid w:val="003A24A5"/>
    <w:rsid w:val="003B53CB"/>
    <w:rsid w:val="003B6957"/>
    <w:rsid w:val="003B720A"/>
    <w:rsid w:val="003C3FDC"/>
    <w:rsid w:val="003C66DB"/>
    <w:rsid w:val="003D0EF3"/>
    <w:rsid w:val="003D64A4"/>
    <w:rsid w:val="003E172C"/>
    <w:rsid w:val="003E52C6"/>
    <w:rsid w:val="003E60B9"/>
    <w:rsid w:val="003E6FC4"/>
    <w:rsid w:val="003F1740"/>
    <w:rsid w:val="003F4043"/>
    <w:rsid w:val="0040347A"/>
    <w:rsid w:val="0040411C"/>
    <w:rsid w:val="004115E0"/>
    <w:rsid w:val="00412EDE"/>
    <w:rsid w:val="0041745F"/>
    <w:rsid w:val="004221F3"/>
    <w:rsid w:val="0042425A"/>
    <w:rsid w:val="00440680"/>
    <w:rsid w:val="00443AE9"/>
    <w:rsid w:val="00460196"/>
    <w:rsid w:val="00464E50"/>
    <w:rsid w:val="00467568"/>
    <w:rsid w:val="004905B6"/>
    <w:rsid w:val="0049546A"/>
    <w:rsid w:val="004959ED"/>
    <w:rsid w:val="00496C59"/>
    <w:rsid w:val="004A2B77"/>
    <w:rsid w:val="004A7F8B"/>
    <w:rsid w:val="004B61CA"/>
    <w:rsid w:val="004B6D42"/>
    <w:rsid w:val="004C2FCD"/>
    <w:rsid w:val="004D2C79"/>
    <w:rsid w:val="004E0410"/>
    <w:rsid w:val="004E1BEB"/>
    <w:rsid w:val="004F7053"/>
    <w:rsid w:val="00511C1B"/>
    <w:rsid w:val="005144E4"/>
    <w:rsid w:val="00514E81"/>
    <w:rsid w:val="005319DF"/>
    <w:rsid w:val="00532C3D"/>
    <w:rsid w:val="005410E0"/>
    <w:rsid w:val="00550027"/>
    <w:rsid w:val="00554689"/>
    <w:rsid w:val="005552C4"/>
    <w:rsid w:val="00555E27"/>
    <w:rsid w:val="00560616"/>
    <w:rsid w:val="005666C9"/>
    <w:rsid w:val="00571041"/>
    <w:rsid w:val="0057165F"/>
    <w:rsid w:val="0058678F"/>
    <w:rsid w:val="0058719F"/>
    <w:rsid w:val="00587D57"/>
    <w:rsid w:val="005A4513"/>
    <w:rsid w:val="005A45A7"/>
    <w:rsid w:val="005A4FD2"/>
    <w:rsid w:val="005A73A8"/>
    <w:rsid w:val="005A76B7"/>
    <w:rsid w:val="005B5673"/>
    <w:rsid w:val="005B6744"/>
    <w:rsid w:val="005B760A"/>
    <w:rsid w:val="005C42A2"/>
    <w:rsid w:val="005D105C"/>
    <w:rsid w:val="005D22D6"/>
    <w:rsid w:val="005D4513"/>
    <w:rsid w:val="005E127D"/>
    <w:rsid w:val="005F1E22"/>
    <w:rsid w:val="00600E23"/>
    <w:rsid w:val="00601F65"/>
    <w:rsid w:val="006114EC"/>
    <w:rsid w:val="00624850"/>
    <w:rsid w:val="00625C53"/>
    <w:rsid w:val="00626EC7"/>
    <w:rsid w:val="00650FF4"/>
    <w:rsid w:val="00651205"/>
    <w:rsid w:val="006633BA"/>
    <w:rsid w:val="00664141"/>
    <w:rsid w:val="00664FF1"/>
    <w:rsid w:val="006664AB"/>
    <w:rsid w:val="006664D9"/>
    <w:rsid w:val="00673836"/>
    <w:rsid w:val="00680670"/>
    <w:rsid w:val="006A07FA"/>
    <w:rsid w:val="006B24FF"/>
    <w:rsid w:val="006B4C35"/>
    <w:rsid w:val="006B5B2C"/>
    <w:rsid w:val="006B7A95"/>
    <w:rsid w:val="006C5A60"/>
    <w:rsid w:val="006C770F"/>
    <w:rsid w:val="006C7EC1"/>
    <w:rsid w:val="006D46DF"/>
    <w:rsid w:val="006E14CC"/>
    <w:rsid w:val="006E2A52"/>
    <w:rsid w:val="006F38A2"/>
    <w:rsid w:val="006F5A7F"/>
    <w:rsid w:val="006F79D4"/>
    <w:rsid w:val="007138C0"/>
    <w:rsid w:val="00720DE7"/>
    <w:rsid w:val="007459F4"/>
    <w:rsid w:val="0074685E"/>
    <w:rsid w:val="007477CB"/>
    <w:rsid w:val="0075651E"/>
    <w:rsid w:val="00763AA4"/>
    <w:rsid w:val="0077291E"/>
    <w:rsid w:val="00777150"/>
    <w:rsid w:val="00783E8F"/>
    <w:rsid w:val="00784BC1"/>
    <w:rsid w:val="00793066"/>
    <w:rsid w:val="00794927"/>
    <w:rsid w:val="00794BDD"/>
    <w:rsid w:val="007A06AF"/>
    <w:rsid w:val="007A15E1"/>
    <w:rsid w:val="007A1EC3"/>
    <w:rsid w:val="007A21AE"/>
    <w:rsid w:val="007A43B6"/>
    <w:rsid w:val="007A4CD8"/>
    <w:rsid w:val="007A75A8"/>
    <w:rsid w:val="007B38C1"/>
    <w:rsid w:val="007C12F6"/>
    <w:rsid w:val="007C2B91"/>
    <w:rsid w:val="007E111C"/>
    <w:rsid w:val="007E4725"/>
    <w:rsid w:val="007E7E68"/>
    <w:rsid w:val="007F14DC"/>
    <w:rsid w:val="007F264E"/>
    <w:rsid w:val="00801878"/>
    <w:rsid w:val="00802ADE"/>
    <w:rsid w:val="00806E13"/>
    <w:rsid w:val="008161D0"/>
    <w:rsid w:val="00817D22"/>
    <w:rsid w:val="00817E30"/>
    <w:rsid w:val="00825163"/>
    <w:rsid w:val="00831E80"/>
    <w:rsid w:val="00853AC7"/>
    <w:rsid w:val="00863414"/>
    <w:rsid w:val="008648EE"/>
    <w:rsid w:val="008651DF"/>
    <w:rsid w:val="008741A3"/>
    <w:rsid w:val="008765DE"/>
    <w:rsid w:val="00880640"/>
    <w:rsid w:val="00881042"/>
    <w:rsid w:val="0089017A"/>
    <w:rsid w:val="008948AE"/>
    <w:rsid w:val="00897A42"/>
    <w:rsid w:val="008A7C82"/>
    <w:rsid w:val="008C35B9"/>
    <w:rsid w:val="008C5176"/>
    <w:rsid w:val="008C72E2"/>
    <w:rsid w:val="008C78BF"/>
    <w:rsid w:val="008E1897"/>
    <w:rsid w:val="008E48ED"/>
    <w:rsid w:val="008E4925"/>
    <w:rsid w:val="008F4428"/>
    <w:rsid w:val="008F50E3"/>
    <w:rsid w:val="009056C0"/>
    <w:rsid w:val="009245FB"/>
    <w:rsid w:val="00927A26"/>
    <w:rsid w:val="00937ABE"/>
    <w:rsid w:val="00940857"/>
    <w:rsid w:val="0094118B"/>
    <w:rsid w:val="0094135A"/>
    <w:rsid w:val="00955E05"/>
    <w:rsid w:val="00960121"/>
    <w:rsid w:val="0096078E"/>
    <w:rsid w:val="00972260"/>
    <w:rsid w:val="00981028"/>
    <w:rsid w:val="009863DD"/>
    <w:rsid w:val="009864D5"/>
    <w:rsid w:val="00990345"/>
    <w:rsid w:val="009965C5"/>
    <w:rsid w:val="009968E5"/>
    <w:rsid w:val="009A1EB1"/>
    <w:rsid w:val="009B3989"/>
    <w:rsid w:val="009B4689"/>
    <w:rsid w:val="009B5A09"/>
    <w:rsid w:val="009C5138"/>
    <w:rsid w:val="009C6684"/>
    <w:rsid w:val="009D2F25"/>
    <w:rsid w:val="009D62A2"/>
    <w:rsid w:val="009E55A8"/>
    <w:rsid w:val="009F09AD"/>
    <w:rsid w:val="009F2EFD"/>
    <w:rsid w:val="009F6C71"/>
    <w:rsid w:val="00A07D2F"/>
    <w:rsid w:val="00A1242A"/>
    <w:rsid w:val="00A24440"/>
    <w:rsid w:val="00A267F4"/>
    <w:rsid w:val="00A26E48"/>
    <w:rsid w:val="00A26FA4"/>
    <w:rsid w:val="00A3094C"/>
    <w:rsid w:val="00A33952"/>
    <w:rsid w:val="00A3650F"/>
    <w:rsid w:val="00A51932"/>
    <w:rsid w:val="00A672BB"/>
    <w:rsid w:val="00A72AC6"/>
    <w:rsid w:val="00A72E47"/>
    <w:rsid w:val="00A8395A"/>
    <w:rsid w:val="00A84B99"/>
    <w:rsid w:val="00A872E4"/>
    <w:rsid w:val="00AA05D9"/>
    <w:rsid w:val="00AA09A3"/>
    <w:rsid w:val="00AA563B"/>
    <w:rsid w:val="00AA7B6B"/>
    <w:rsid w:val="00AB4C46"/>
    <w:rsid w:val="00AB4F05"/>
    <w:rsid w:val="00AC22D0"/>
    <w:rsid w:val="00AC515C"/>
    <w:rsid w:val="00AC6E91"/>
    <w:rsid w:val="00AD0DFF"/>
    <w:rsid w:val="00AD4558"/>
    <w:rsid w:val="00AF13BA"/>
    <w:rsid w:val="00AF3DDA"/>
    <w:rsid w:val="00B05486"/>
    <w:rsid w:val="00B210FA"/>
    <w:rsid w:val="00B247E9"/>
    <w:rsid w:val="00B40F75"/>
    <w:rsid w:val="00B416BD"/>
    <w:rsid w:val="00B45548"/>
    <w:rsid w:val="00B62CFD"/>
    <w:rsid w:val="00B804CE"/>
    <w:rsid w:val="00B82FEC"/>
    <w:rsid w:val="00B86CA9"/>
    <w:rsid w:val="00B94D60"/>
    <w:rsid w:val="00B95538"/>
    <w:rsid w:val="00BA2945"/>
    <w:rsid w:val="00BC0A1E"/>
    <w:rsid w:val="00BC0FA6"/>
    <w:rsid w:val="00BC6A47"/>
    <w:rsid w:val="00BD0BC0"/>
    <w:rsid w:val="00BD16BA"/>
    <w:rsid w:val="00BD6A30"/>
    <w:rsid w:val="00BD6E47"/>
    <w:rsid w:val="00BE1428"/>
    <w:rsid w:val="00BE4E68"/>
    <w:rsid w:val="00BE55C9"/>
    <w:rsid w:val="00BE5E1C"/>
    <w:rsid w:val="00BF4B65"/>
    <w:rsid w:val="00C010B8"/>
    <w:rsid w:val="00C10731"/>
    <w:rsid w:val="00C14231"/>
    <w:rsid w:val="00C154BB"/>
    <w:rsid w:val="00C16BB9"/>
    <w:rsid w:val="00C24B45"/>
    <w:rsid w:val="00C25AFC"/>
    <w:rsid w:val="00C26C79"/>
    <w:rsid w:val="00C33058"/>
    <w:rsid w:val="00C51739"/>
    <w:rsid w:val="00C53916"/>
    <w:rsid w:val="00C645B8"/>
    <w:rsid w:val="00C645F0"/>
    <w:rsid w:val="00C737DB"/>
    <w:rsid w:val="00C75161"/>
    <w:rsid w:val="00C754C4"/>
    <w:rsid w:val="00C77CC8"/>
    <w:rsid w:val="00C80AA6"/>
    <w:rsid w:val="00C81E41"/>
    <w:rsid w:val="00C97639"/>
    <w:rsid w:val="00CA3C11"/>
    <w:rsid w:val="00CA62F7"/>
    <w:rsid w:val="00CA7BAF"/>
    <w:rsid w:val="00CC01E6"/>
    <w:rsid w:val="00CC2DE2"/>
    <w:rsid w:val="00CE1143"/>
    <w:rsid w:val="00CE27F6"/>
    <w:rsid w:val="00CE4845"/>
    <w:rsid w:val="00CF179A"/>
    <w:rsid w:val="00CF35A2"/>
    <w:rsid w:val="00D00320"/>
    <w:rsid w:val="00D07FF3"/>
    <w:rsid w:val="00D15CEA"/>
    <w:rsid w:val="00D168FF"/>
    <w:rsid w:val="00D22F31"/>
    <w:rsid w:val="00D24351"/>
    <w:rsid w:val="00D273EA"/>
    <w:rsid w:val="00D3112D"/>
    <w:rsid w:val="00D46963"/>
    <w:rsid w:val="00D5544A"/>
    <w:rsid w:val="00D60658"/>
    <w:rsid w:val="00D7512A"/>
    <w:rsid w:val="00D77587"/>
    <w:rsid w:val="00D830E5"/>
    <w:rsid w:val="00D83822"/>
    <w:rsid w:val="00D937A7"/>
    <w:rsid w:val="00DA2A80"/>
    <w:rsid w:val="00DA632D"/>
    <w:rsid w:val="00DB4C93"/>
    <w:rsid w:val="00DB695F"/>
    <w:rsid w:val="00DC466F"/>
    <w:rsid w:val="00DC6D18"/>
    <w:rsid w:val="00DD082A"/>
    <w:rsid w:val="00DD285C"/>
    <w:rsid w:val="00DE5463"/>
    <w:rsid w:val="00DE6F22"/>
    <w:rsid w:val="00DF2444"/>
    <w:rsid w:val="00DF3081"/>
    <w:rsid w:val="00DF3294"/>
    <w:rsid w:val="00DF6A56"/>
    <w:rsid w:val="00DF74DA"/>
    <w:rsid w:val="00E06DE4"/>
    <w:rsid w:val="00E10B22"/>
    <w:rsid w:val="00E347A1"/>
    <w:rsid w:val="00E41339"/>
    <w:rsid w:val="00E462FC"/>
    <w:rsid w:val="00E467BC"/>
    <w:rsid w:val="00E61246"/>
    <w:rsid w:val="00E61E5D"/>
    <w:rsid w:val="00E6630C"/>
    <w:rsid w:val="00E71055"/>
    <w:rsid w:val="00E719BA"/>
    <w:rsid w:val="00E8067E"/>
    <w:rsid w:val="00E81AE8"/>
    <w:rsid w:val="00E82E42"/>
    <w:rsid w:val="00E857A1"/>
    <w:rsid w:val="00E9237C"/>
    <w:rsid w:val="00EB3AC3"/>
    <w:rsid w:val="00EB45B1"/>
    <w:rsid w:val="00EB4B87"/>
    <w:rsid w:val="00EB7BB7"/>
    <w:rsid w:val="00EC2664"/>
    <w:rsid w:val="00ED06F2"/>
    <w:rsid w:val="00ED31F0"/>
    <w:rsid w:val="00EE6CDD"/>
    <w:rsid w:val="00F00E14"/>
    <w:rsid w:val="00F0226B"/>
    <w:rsid w:val="00F0296B"/>
    <w:rsid w:val="00F04086"/>
    <w:rsid w:val="00F06BCB"/>
    <w:rsid w:val="00F100B4"/>
    <w:rsid w:val="00F17BDA"/>
    <w:rsid w:val="00F27BE8"/>
    <w:rsid w:val="00F31A5E"/>
    <w:rsid w:val="00F356B1"/>
    <w:rsid w:val="00F504E0"/>
    <w:rsid w:val="00F526D5"/>
    <w:rsid w:val="00F53DE0"/>
    <w:rsid w:val="00F552DB"/>
    <w:rsid w:val="00F72C73"/>
    <w:rsid w:val="00F72F38"/>
    <w:rsid w:val="00F7763A"/>
    <w:rsid w:val="00F91F5C"/>
    <w:rsid w:val="00FA78AF"/>
    <w:rsid w:val="00FB484C"/>
    <w:rsid w:val="00FC0445"/>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CB94E"/>
  <w15:chartTrackingRefBased/>
  <w15:docId w15:val="{92C1DD6C-6072-4F4A-96A9-00759B89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9056C0"/>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9056C0"/>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BE4E68"/>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BE4E68"/>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15C36"/>
    <w:rPr>
      <w:rFonts w:ascii="Open Sans" w:eastAsiaTheme="minorHAnsi" w:hAnsi="Open Sans" w:cs="Open Sans"/>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table" w:customStyle="1" w:styleId="TableGrid1">
    <w:name w:val="Table Grid1"/>
    <w:basedOn w:val="TableNormal"/>
    <w:next w:val="TableGrid"/>
    <w:rsid w:val="008F4428"/>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WordTemplate31.dotx</Template>
  <TotalTime>28</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Laptop</cp:lastModifiedBy>
  <cp:revision>4</cp:revision>
  <cp:lastPrinted>2022-05-25T07:34:00Z</cp:lastPrinted>
  <dcterms:created xsi:type="dcterms:W3CDTF">2022-09-04T11:26:00Z</dcterms:created>
  <dcterms:modified xsi:type="dcterms:W3CDTF">2022-09-04T12:18:00Z</dcterms:modified>
</cp:coreProperties>
</file>