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Learning Outcome Builder 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There are three components to a learning outcome.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76923c"/>
          <w:rtl w:val="0"/>
        </w:rPr>
        <w:t xml:space="preserve">Label</w:t>
      </w:r>
      <w:r w:rsidDel="00000000" w:rsidR="00000000" w:rsidRPr="00000000">
        <w:rPr>
          <w:rFonts w:ascii="Open Sans" w:cs="Open Sans" w:eastAsia="Open Sans" w:hAnsi="Open Sans"/>
          <w:b w:val="1"/>
          <w:color w:val="76923c"/>
          <w:rtl w:val="0"/>
        </w:rPr>
        <w:t xml:space="preserve"> </w:t>
      </w:r>
      <w:r w:rsidDel="00000000" w:rsidR="00000000" w:rsidRPr="00000000">
        <w:rPr>
          <w:rtl w:val="0"/>
        </w:rPr>
        <w:tab/>
        <w:tab/>
        <w:t xml:space="preserve">What it's about.</w:t>
        <w:tab/>
        <w:tab/>
        <w:tab/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76923c"/>
          <w:rtl w:val="0"/>
        </w:rPr>
        <w:t xml:space="preserve">[Lime Green]</w:t>
      </w:r>
      <w:r w:rsidDel="00000000" w:rsidR="00000000" w:rsidRPr="00000000">
        <w:rPr>
          <w:rFonts w:ascii="Open Sans" w:cs="Open Sans" w:eastAsia="Open Sans" w:hAnsi="Open Sans"/>
          <w:b w:val="1"/>
          <w:color w:val="76923c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>
          <w:i w:val="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7030a0"/>
          <w:rtl w:val="0"/>
        </w:rPr>
        <w:t xml:space="preserve">Verb</w:t>
      </w:r>
      <w:r w:rsidDel="00000000" w:rsidR="00000000" w:rsidRPr="00000000">
        <w:rPr>
          <w:rtl w:val="0"/>
        </w:rPr>
        <w:tab/>
        <w:tab/>
        <w:t xml:space="preserve">The skill they will use.</w:t>
        <w:tab/>
        <w:tab/>
        <w:tab/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7030a0"/>
          <w:rtl w:val="0"/>
        </w:rPr>
        <w:t xml:space="preserve">[Violet]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>
          <w:rFonts w:ascii="Open Sans" w:cs="Open Sans" w:eastAsia="Open Sans" w:hAnsi="Open Sans"/>
          <w:b w:val="1"/>
          <w:color w:val="76923c"/>
        </w:rPr>
      </w:pPr>
      <w:bookmarkStart w:colFirst="0" w:colLast="0" w:name="_gjdgxs" w:id="0"/>
      <w:bookmarkEnd w:id="0"/>
      <w:r w:rsidDel="00000000" w:rsidR="00000000" w:rsidRPr="00000000">
        <w:rPr>
          <w:rFonts w:ascii="Open Sans" w:cs="Open Sans" w:eastAsia="Open Sans" w:hAnsi="Open Sans"/>
          <w:b w:val="1"/>
          <w:color w:val="e36c09"/>
          <w:rtl w:val="0"/>
        </w:rPr>
        <w:t xml:space="preserve">Outcome</w:t>
      </w:r>
      <w:r w:rsidDel="00000000" w:rsidR="00000000" w:rsidRPr="00000000">
        <w:rPr>
          <w:rtl w:val="0"/>
        </w:rPr>
        <w:tab/>
        <w:t xml:space="preserve">The difference that will be seen.</w:t>
        <w:tab/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e36c09"/>
          <w:rtl w:val="0"/>
        </w:rPr>
        <w:t xml:space="preserve">[Orange]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rPr/>
      </w:pPr>
      <w:r w:rsidDel="00000000" w:rsidR="00000000" w:rsidRPr="00000000">
        <w:rPr>
          <w:rtl w:val="0"/>
        </w:rPr>
        <w:t xml:space="preserve">Task 1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Think of a lesson. Pop your initials in the left-hand column to claim a row.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Jot down words in the three boxes that help you pin down the outcome.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the words to help write the outcome as a sentence.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7.0000000000002"/>
        <w:gridCol w:w="2448"/>
        <w:gridCol w:w="283"/>
        <w:gridCol w:w="2693"/>
        <w:gridCol w:w="284"/>
        <w:gridCol w:w="2551"/>
        <w:gridCol w:w="993"/>
        <w:tblGridChange w:id="0">
          <w:tblGrid>
            <w:gridCol w:w="807.0000000000002"/>
            <w:gridCol w:w="2448"/>
            <w:gridCol w:w="283"/>
            <w:gridCol w:w="2693"/>
            <w:gridCol w:w="284"/>
            <w:gridCol w:w="2551"/>
            <w:gridCol w:w="993"/>
          </w:tblGrid>
        </w:tblGridChange>
      </w:tblGrid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4f6228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In'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4f6228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Label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f497a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Verb (skill)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9900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Outcome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hollandaise </w:t>
            </w:r>
            <w:r w:rsidDel="00000000" w:rsidR="00000000" w:rsidRPr="00000000">
              <w:rPr>
                <w:rtl w:val="0"/>
              </w:rPr>
              <w:t xml:space="preserve">sauce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make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sauce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left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make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76923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76923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hollandaise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sauce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group's social rules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discuss, write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list of rules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76923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rules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they wish their group to adhere to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letter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03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Write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completed letter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color w:val="7030a0"/>
                <w:rtl w:val="0"/>
              </w:rPr>
              <w:t xml:space="preserve">Write</w:t>
            </w:r>
            <w:r w:rsidDel="00000000" w:rsidR="00000000" w:rsidRPr="00000000">
              <w:rPr>
                <w:color w:val="ff9900"/>
                <w:rtl w:val="0"/>
              </w:rPr>
              <w:t xml:space="preserve"> a</w:t>
            </w:r>
            <w:r w:rsidDel="00000000" w:rsidR="00000000" w:rsidRPr="00000000">
              <w:rPr>
                <w:color w:val="e36c09"/>
                <w:rtl w:val="0"/>
              </w:rPr>
              <w:t xml:space="preserve"> letter</w:t>
            </w:r>
            <w:r w:rsidDel="00000000" w:rsidR="00000000" w:rsidRPr="00000000">
              <w:rPr>
                <w:color w:val="ff9900"/>
                <w:rtl w:val="0"/>
              </w:rPr>
              <w:t xml:space="preserve"> in respo</w:t>
            </w:r>
            <w:r w:rsidDel="00000000" w:rsidR="00000000" w:rsidRPr="00000000">
              <w:rPr>
                <w:rtl w:val="0"/>
              </w:rPr>
              <w:t xml:space="preserve">nse to a statement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042">
            <w:pPr>
              <w:spacing w:after="6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044">
            <w:pPr>
              <w:spacing w:after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046">
            <w:pPr>
              <w:spacing w:after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left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7.490234375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Schizophrenia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05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05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Symptoms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Describe the symptoms of Schizophrenia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Marxism - Crime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evaluation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evaluation?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Assess the effectiveness of Marxist theory to our understanding of crime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heart beat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sequence, put in order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list of processes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 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6"/>
              </w:numPr>
              <w:ind w:left="720" w:hanging="360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7030a0"/>
                <w:rtl w:val="0"/>
              </w:rPr>
              <w:t xml:space="preserve">sequence</w:t>
            </w:r>
            <w:r w:rsidDel="00000000" w:rsidR="00000000" w:rsidRPr="00000000">
              <w:rPr>
                <w:color w:val="93c47d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the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e36c09"/>
                <w:rtl w:val="0"/>
              </w:rPr>
              <w:t xml:space="preserve">events</w:t>
            </w:r>
            <w:r w:rsidDel="00000000" w:rsidR="00000000" w:rsidRPr="00000000">
              <w:rPr>
                <w:rtl w:val="0"/>
              </w:rPr>
              <w:t xml:space="preserve"> that take place in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76923c"/>
                <w:rtl w:val="0"/>
              </w:rPr>
              <w:t xml:space="preserve">one heart beat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simultaneous equations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create, solve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7.4902343749999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3"/>
              </w:numPr>
              <w:ind w:left="720" w:hanging="360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Create and solve simultaneous equations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literary methods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08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analyse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09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different meanings in the poem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analyse a range of literary methods to understand the different meanings 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0.1M sodium carbonate solution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produce, make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standard solution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color w:val="674ea7"/>
                <w:rtl w:val="0"/>
              </w:rPr>
              <w:t xml:space="preserve">produce</w:t>
            </w:r>
            <w:r w:rsidDel="00000000" w:rsidR="00000000" w:rsidRPr="00000000">
              <w:rPr>
                <w:rtl w:val="0"/>
              </w:rPr>
              <w:t xml:space="preserve"> a </w:t>
            </w:r>
            <w:r w:rsidDel="00000000" w:rsidR="00000000" w:rsidRPr="00000000">
              <w:rPr>
                <w:color w:val="f6b26b"/>
                <w:rtl w:val="0"/>
              </w:rPr>
              <w:t xml:space="preserve">standard solutio</w:t>
            </w:r>
            <w:r w:rsidDel="00000000" w:rsidR="00000000" w:rsidRPr="00000000">
              <w:rPr>
                <w:color w:val="e69138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  <w:t xml:space="preserve"> of </w:t>
            </w:r>
            <w:r w:rsidDel="00000000" w:rsidR="00000000" w:rsidRPr="00000000">
              <w:rPr>
                <w:color w:val="76923c"/>
                <w:rtl w:val="0"/>
              </w:rPr>
              <w:t xml:space="preserve">0.1M Sodium carbonate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Auteur Theory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Apply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Critique/question Francis Ford Coppola as Auteur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Apply Auteur Theory to critique Apocalypse 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Primary Sources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Deconstruct, evaluate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identify value of primary source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color w:val="7030a0"/>
                <w:rtl w:val="0"/>
              </w:rPr>
              <w:t xml:space="preserve">deconstruct</w:t>
            </w:r>
            <w:r w:rsidDel="00000000" w:rsidR="00000000" w:rsidRPr="00000000">
              <w:rPr>
                <w:rtl w:val="0"/>
              </w:rPr>
              <w:t xml:space="preserve"> a </w:t>
            </w:r>
            <w:r w:rsidDel="00000000" w:rsidR="00000000" w:rsidRPr="00000000">
              <w:rPr>
                <w:color w:val="76923c"/>
                <w:rtl w:val="0"/>
              </w:rPr>
              <w:t xml:space="preserve">primary source</w:t>
            </w:r>
            <w:r w:rsidDel="00000000" w:rsidR="00000000" w:rsidRPr="00000000">
              <w:rPr>
                <w:rtl w:val="0"/>
              </w:rPr>
              <w:t xml:space="preserve"> in order to </w:t>
            </w:r>
            <w:r w:rsidDel="00000000" w:rsidR="00000000" w:rsidRPr="00000000">
              <w:rPr>
                <w:color w:val="e36c09"/>
                <w:rtl w:val="0"/>
              </w:rPr>
              <w:t xml:space="preserve">identify value</w:t>
            </w: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Meiosis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explain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0C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it leads to variation 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Explain how the stages of meiosis can lead to genetic variation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Rainforest adaptations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Describe and explain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 /explanation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color w:val="8e7cc3"/>
                <w:rtl w:val="0"/>
              </w:rPr>
              <w:t xml:space="preserve">Explain</w:t>
            </w:r>
            <w:r w:rsidDel="00000000" w:rsidR="00000000" w:rsidRPr="00000000">
              <w:rPr>
                <w:rtl w:val="0"/>
              </w:rPr>
              <w:t xml:space="preserve"> adaptations in rainforest ecosystem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SMB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0E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be end of the session, learners will be/able to: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10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motivation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compare and contrast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difference  between the two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Compare and Contrast Intrinsic and Extrinsic motivation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11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12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jc w:val="left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left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left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2"/>
              </w:numPr>
              <w:spacing w:after="6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13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2.4902343749999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sessearnersdra will be/able to: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19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1B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2.4902343749999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1B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B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1d9" w:val="clear"/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By the end of the session, learners will be/able to: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6838" w:w="11906" w:orient="portrait"/>
      <w:pgMar w:bottom="1276" w:top="1276" w:left="993" w:right="1416" w:header="426" w:footer="52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  <w:font w:name="Kozuka Gothic Pro EL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©</w:t>
    </w:r>
    <w:r w:rsidDel="00000000" w:rsidR="00000000" w:rsidRPr="00000000"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Tony Davis 2020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-14398</wp:posOffset>
          </wp:positionV>
          <wp:extent cx="2380488" cy="481584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ff"/>
        <w:sz w:val="16"/>
        <w:szCs w:val="16"/>
        <w:u w:val="single"/>
        <w:shd w:fill="auto" w:val="clear"/>
        <w:vertAlign w:val="baseline"/>
      </w:rPr>
    </w:pPr>
    <w:hyperlink r:id="rId2">
      <w:r w:rsidDel="00000000" w:rsidR="00000000" w:rsidRPr="00000000"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www.ccqi.org.uk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Twitter: @c4cqi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141" w:firstLine="0"/>
      <w:jc w:val="right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©</w:t>
    </w:r>
    <w:r w:rsidDel="00000000" w:rsidR="00000000" w:rsidRPr="00000000"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Tony Davis 2014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78106</wp:posOffset>
          </wp:positionH>
          <wp:positionV relativeFrom="paragraph">
            <wp:posOffset>-86994</wp:posOffset>
          </wp:positionV>
          <wp:extent cx="2380488" cy="481584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141" w:firstLine="0"/>
      <w:jc w:val="right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ff"/>
        <w:sz w:val="16"/>
        <w:szCs w:val="16"/>
        <w:u w:val="single"/>
        <w:shd w:fill="auto" w:val="clear"/>
        <w:vertAlign w:val="baseline"/>
      </w:rPr>
    </w:pPr>
    <w:hyperlink r:id="rId2">
      <w:r w:rsidDel="00000000" w:rsidR="00000000" w:rsidRPr="00000000"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www.ccqi.org.uk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141" w:firstLine="0"/>
      <w:jc w:val="right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Twitter: @c4cqi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 Light" w:cs="Open Sans Light" w:eastAsia="Open Sans Light" w:hAnsi="Open Sans Light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</w:pPr>
    <w:rPr>
      <w:rFonts w:ascii="Kozuka Gothic Pro EL" w:cs="Kozuka Gothic Pro EL" w:eastAsia="Kozuka Gothic Pro EL" w:hAnsi="Kozuka Gothic Pro EL"/>
      <w:color w:val="36609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lineRule="auto"/>
    </w:pPr>
    <w:rPr>
      <w:rFonts w:ascii="Kozuka Gothic Pro EL" w:cs="Kozuka Gothic Pro EL" w:eastAsia="Kozuka Gothic Pro EL" w:hAnsi="Kozuka Gothic Pro EL"/>
      <w:color w:val="36609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40" w:before="40" w:lineRule="auto"/>
    </w:pPr>
    <w:rPr>
      <w:color w:val="0070c0"/>
    </w:rPr>
  </w:style>
  <w:style w:type="paragraph" w:styleId="Heading4">
    <w:name w:val="heading 4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Open Sans Light" w:cs="Open Sans Light" w:eastAsia="Open Sans Light" w:hAnsi="Open Sans Light"/>
      <w:b w:val="0"/>
      <w:i w:val="0"/>
      <w:smallCaps w:val="0"/>
      <w:strike w:val="0"/>
      <w:color w:val="7030a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  <w:ind w:right="-284"/>
    </w:pPr>
    <w:rPr>
      <w:rFonts w:ascii="Kozuka Gothic Pro EL" w:cs="Kozuka Gothic Pro EL" w:eastAsia="Kozuka Gothic Pro EL" w:hAnsi="Kozuka Gothic Pro EL"/>
      <w:color w:val="36609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ccqi.org.uk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ccqi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